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eastAsia="楷体_GB2312"/>
          <w:spacing w:val="20"/>
          <w:sz w:val="44"/>
        </w:rPr>
      </w:pPr>
      <w:bookmarkStart w:id="0" w:name="page1"/>
      <w:bookmarkEnd w:id="0"/>
      <w:r>
        <w:rPr>
          <w:rFonts w:hint="eastAsia" w:ascii="Times New Roman" w:eastAsia="楷体_GB2312"/>
          <w:spacing w:val="20"/>
          <w:sz w:val="44"/>
        </w:rPr>
        <w:t xml:space="preserve"> </w:t>
      </w:r>
    </w:p>
    <w:p>
      <w:pPr>
        <w:pStyle w:val="3"/>
        <w:jc w:val="center"/>
        <w:rPr>
          <w:rFonts w:ascii="Times New Roman" w:eastAsia="楷体_GB2312"/>
          <w:spacing w:val="20"/>
          <w:sz w:val="44"/>
        </w:rPr>
      </w:pPr>
      <w:r>
        <w:rPr>
          <w:rFonts w:hint="eastAsia" w:ascii="Times New Roman" w:eastAsia="楷体_GB2312"/>
          <w:spacing w:val="20"/>
          <w:sz w:val="44"/>
        </w:rPr>
        <w:t xml:space="preserve">     </w:t>
      </w:r>
      <w:r>
        <w:rPr>
          <w:rFonts w:hint="eastAsia" w:ascii="方正小标宋简体" w:hAnsi="方正小标宋简体" w:eastAsia="方正小标宋简体" w:cs="方正小标宋简体"/>
          <w:b w:val="0"/>
          <w:bCs w:val="0"/>
          <w:spacing w:val="20"/>
          <w:sz w:val="72"/>
          <w:szCs w:val="40"/>
        </w:rPr>
        <w:t>内蒙古科技大学</w:t>
      </w:r>
    </w:p>
    <w:p>
      <w:pPr>
        <w:pStyle w:val="3"/>
        <w:jc w:val="center"/>
        <w:rPr>
          <w:rFonts w:ascii="Times New Roman" w:eastAsia="楷体_GB2312"/>
          <w:spacing w:val="20"/>
          <w:sz w:val="44"/>
        </w:rPr>
      </w:pPr>
    </w:p>
    <w:p>
      <w:pPr>
        <w:pStyle w:val="3"/>
        <w:rPr>
          <w:rFonts w:ascii="Times New Roman" w:eastAsia="楷体_GB2312"/>
          <w:spacing w:val="20"/>
          <w:sz w:val="18"/>
        </w:rPr>
      </w:pPr>
    </w:p>
    <w:p>
      <w:pPr>
        <w:pStyle w:val="3"/>
        <w:spacing w:line="280" w:lineRule="atLeast"/>
        <w:jc w:val="center"/>
        <w:rPr>
          <w:rFonts w:ascii="Times New Roman"/>
          <w:b w:val="0"/>
          <w:spacing w:val="20"/>
          <w:sz w:val="84"/>
          <w:szCs w:val="84"/>
        </w:rPr>
      </w:pPr>
      <w:r>
        <w:rPr>
          <w:rFonts w:hint="eastAsia" w:ascii="Times New Roman"/>
          <w:b w:val="0"/>
          <w:spacing w:val="20"/>
          <w:sz w:val="84"/>
          <w:szCs w:val="84"/>
        </w:rPr>
        <w:t>冶金工程博士</w:t>
      </w:r>
    </w:p>
    <w:p>
      <w:pPr>
        <w:pStyle w:val="3"/>
        <w:spacing w:line="280" w:lineRule="atLeast"/>
        <w:jc w:val="center"/>
        <w:rPr>
          <w:rFonts w:ascii="Times New Roman"/>
          <w:b w:val="0"/>
          <w:spacing w:val="20"/>
          <w:sz w:val="84"/>
          <w:szCs w:val="84"/>
        </w:rPr>
      </w:pPr>
      <w:r>
        <w:rPr>
          <w:rFonts w:hint="eastAsia" w:ascii="Times New Roman"/>
          <w:b w:val="0"/>
          <w:spacing w:val="20"/>
          <w:sz w:val="84"/>
          <w:szCs w:val="84"/>
        </w:rPr>
        <w:t>研究生培养方案</w:t>
      </w:r>
    </w:p>
    <w:p>
      <w:pPr>
        <w:pStyle w:val="3"/>
        <w:rPr>
          <w:rFonts w:ascii="Times New Roman"/>
        </w:rPr>
      </w:pPr>
    </w:p>
    <w:p>
      <w:pPr>
        <w:pStyle w:val="3"/>
        <w:jc w:val="center"/>
        <w:rPr>
          <w:rFonts w:ascii="Times New Roman"/>
        </w:rPr>
      </w:pPr>
    </w:p>
    <w:p>
      <w:pPr>
        <w:jc w:val="center"/>
        <w:rPr>
          <w:rFonts w:ascii="宋体" w:hAnsi="宋体" w:cs="宋体"/>
          <w:sz w:val="24"/>
        </w:rPr>
      </w:pPr>
      <w:r>
        <w:drawing>
          <wp:inline distT="0" distB="0" distL="0" distR="0">
            <wp:extent cx="3515995" cy="3364230"/>
            <wp:effectExtent l="0" t="0" r="825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15995" cy="3364230"/>
                    </a:xfrm>
                    <a:prstGeom prst="rect">
                      <a:avLst/>
                    </a:prstGeom>
                    <a:noFill/>
                    <a:ln>
                      <a:noFill/>
                    </a:ln>
                  </pic:spPr>
                </pic:pic>
              </a:graphicData>
            </a:graphic>
          </wp:inline>
        </w:drawing>
      </w:r>
      <w:r>
        <w:rPr>
          <w:rFonts w:ascii="宋体" w:hAnsi="宋体" w:cs="宋体"/>
          <w:sz w:val="24"/>
        </w:rPr>
        <w:fldChar w:fldCharType="begin"/>
      </w:r>
      <w:r>
        <w:rPr>
          <w:rFonts w:ascii="宋体" w:hAnsi="宋体" w:cs="宋体"/>
          <w:sz w:val="24"/>
        </w:rPr>
        <w:instrText xml:space="preserve"> INCLUDEPICTURE "D:\\Program Files\\Tencent\\QQ2009\\Users\\1298547973\\Image\\(LC(K0W{GGG0I[9A}8I{O$K.jpg" \* MERGEFORMATINET </w:instrText>
      </w:r>
      <w:r>
        <w:rPr>
          <w:rFonts w:ascii="宋体" w:hAnsi="宋体" w:cs="宋体"/>
          <w:sz w:val="24"/>
        </w:rPr>
        <w:fldChar w:fldCharType="separate"/>
      </w:r>
      <w:r>
        <w:rPr>
          <w:rFonts w:ascii="宋体" w:hAnsi="宋体" w:cs="宋体"/>
          <w:sz w:val="24"/>
        </w:rPr>
        <w:fldChar w:fldCharType="end"/>
      </w:r>
    </w:p>
    <w:p>
      <w:pPr>
        <w:pStyle w:val="3"/>
        <w:jc w:val="center"/>
        <w:rPr>
          <w:rFonts w:ascii="Times New Roman"/>
        </w:rPr>
      </w:pPr>
    </w:p>
    <w:p>
      <w:pPr>
        <w:pStyle w:val="3"/>
        <w:rPr>
          <w:rFonts w:ascii="Times New Roman"/>
        </w:rPr>
      </w:pPr>
    </w:p>
    <w:p>
      <w:pPr>
        <w:pStyle w:val="3"/>
        <w:tabs>
          <w:tab w:val="left" w:pos="1330"/>
        </w:tabs>
        <w:jc w:val="center"/>
        <w:rPr>
          <w:rFonts w:ascii="Times New Roman"/>
          <w:sz w:val="30"/>
        </w:rPr>
      </w:pPr>
      <w:r>
        <w:rPr>
          <w:rFonts w:hint="eastAsia" w:ascii="Times New Roman"/>
          <w:sz w:val="30"/>
        </w:rPr>
        <w:t>内蒙古科技大学</w:t>
      </w:r>
    </w:p>
    <w:p>
      <w:pPr>
        <w:pStyle w:val="3"/>
        <w:jc w:val="center"/>
        <w:rPr>
          <w:rFonts w:ascii="Times New Roman"/>
          <w:sz w:val="30"/>
        </w:rPr>
      </w:pPr>
      <w:r>
        <w:rPr>
          <w:rFonts w:hint="eastAsia" w:ascii="Times New Roman"/>
          <w:sz w:val="30"/>
        </w:rPr>
        <w:t>202</w:t>
      </w:r>
      <w:r>
        <w:rPr>
          <w:rFonts w:ascii="Times New Roman"/>
          <w:sz w:val="30"/>
        </w:rPr>
        <w:t>2</w:t>
      </w:r>
      <w:r>
        <w:rPr>
          <w:rFonts w:hint="eastAsia" w:ascii="Times New Roman"/>
          <w:sz w:val="30"/>
        </w:rPr>
        <w:t>年</w:t>
      </w:r>
      <w:r>
        <w:rPr>
          <w:rFonts w:ascii="Times New Roman"/>
          <w:sz w:val="30"/>
        </w:rPr>
        <w:t>6</w:t>
      </w:r>
      <w:r>
        <w:rPr>
          <w:rFonts w:hint="eastAsia" w:ascii="Times New Roman"/>
          <w:sz w:val="30"/>
        </w:rPr>
        <w:t>月</w:t>
      </w:r>
    </w:p>
    <w:p>
      <w:pPr>
        <w:pStyle w:val="2"/>
      </w:pPr>
      <w:r>
        <w:br w:type="page"/>
      </w:r>
      <w:r>
        <w:rPr>
          <w:rFonts w:hint="eastAsia"/>
          <w:sz w:val="32"/>
        </w:rPr>
        <w:t>内蒙古科技大学博士研究生培养方案</w:t>
      </w:r>
    </w:p>
    <w:tbl>
      <w:tblPr>
        <w:tblStyle w:val="8"/>
        <w:tblW w:w="0" w:type="auto"/>
        <w:tblInd w:w="0" w:type="dxa"/>
        <w:tblLayout w:type="fixed"/>
        <w:tblCellMar>
          <w:top w:w="0" w:type="dxa"/>
          <w:left w:w="0" w:type="dxa"/>
          <w:bottom w:w="0" w:type="dxa"/>
          <w:right w:w="0" w:type="dxa"/>
        </w:tblCellMar>
      </w:tblPr>
      <w:tblGrid>
        <w:gridCol w:w="1731"/>
        <w:gridCol w:w="2234"/>
        <w:gridCol w:w="1983"/>
        <w:gridCol w:w="2388"/>
      </w:tblGrid>
      <w:tr>
        <w:tblPrEx>
          <w:tblCellMar>
            <w:top w:w="0" w:type="dxa"/>
            <w:left w:w="0" w:type="dxa"/>
            <w:bottom w:w="0" w:type="dxa"/>
            <w:right w:w="0" w:type="dxa"/>
          </w:tblCellMar>
        </w:tblPrEx>
        <w:trPr>
          <w:trHeight w:val="637" w:hRule="atLeast"/>
        </w:trPr>
        <w:tc>
          <w:tcPr>
            <w:tcW w:w="1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学院</w:t>
            </w:r>
          </w:p>
        </w:tc>
        <w:tc>
          <w:tcPr>
            <w:tcW w:w="2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Cs/>
                <w:color w:val="000000"/>
                <w:sz w:val="24"/>
                <w:szCs w:val="24"/>
                <w:lang w:bidi="ar"/>
              </w:rPr>
            </w:pPr>
            <w:r>
              <w:rPr>
                <w:rFonts w:hint="eastAsia" w:ascii="仿宋_GB2312" w:hAnsi="仿宋_GB2312" w:eastAsia="仿宋_GB2312" w:cs="仿宋_GB2312"/>
                <w:bCs/>
                <w:color w:val="000000"/>
                <w:sz w:val="24"/>
                <w:szCs w:val="24"/>
                <w:lang w:bidi="ar"/>
              </w:rPr>
              <w:t>材料与冶金学院</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学科名称</w:t>
            </w:r>
          </w:p>
        </w:tc>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冶金工程</w:t>
            </w:r>
          </w:p>
        </w:tc>
      </w:tr>
      <w:tr>
        <w:tblPrEx>
          <w:tblCellMar>
            <w:top w:w="0" w:type="dxa"/>
            <w:left w:w="0" w:type="dxa"/>
            <w:bottom w:w="0" w:type="dxa"/>
            <w:right w:w="0" w:type="dxa"/>
          </w:tblCellMar>
        </w:tblPrEx>
        <w:trPr>
          <w:trHeight w:val="604" w:hRule="atLeast"/>
        </w:trPr>
        <w:tc>
          <w:tcPr>
            <w:tcW w:w="1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学科代码</w:t>
            </w:r>
          </w:p>
        </w:tc>
        <w:tc>
          <w:tcPr>
            <w:tcW w:w="2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仿宋_GB2312" w:hAnsi="仿宋_GB2312" w:eastAsia="仿宋_GB2312" w:cs="仿宋_GB2312"/>
                <w:bCs/>
                <w:color w:val="000000"/>
                <w:sz w:val="24"/>
                <w:szCs w:val="24"/>
                <w:lang w:val="en-US" w:eastAsia="zh-CN" w:bidi="ar"/>
              </w:rPr>
            </w:pPr>
            <w:r>
              <w:rPr>
                <w:rFonts w:hint="eastAsia" w:ascii="仿宋_GB2312" w:hAnsi="仿宋_GB2312" w:eastAsia="仿宋_GB2312" w:cs="仿宋_GB2312"/>
                <w:bCs/>
                <w:color w:val="000000"/>
                <w:sz w:val="24"/>
                <w:lang w:bidi="ar"/>
              </w:rPr>
              <w:t>080</w:t>
            </w:r>
            <w:r>
              <w:rPr>
                <w:rFonts w:hint="eastAsia" w:ascii="仿宋_GB2312" w:hAnsi="仿宋_GB2312" w:eastAsia="仿宋_GB2312" w:cs="仿宋_GB2312"/>
                <w:bCs/>
                <w:color w:val="000000"/>
                <w:sz w:val="24"/>
                <w:lang w:val="en-US" w:eastAsia="zh-CN" w:bidi="ar"/>
              </w:rPr>
              <w:t>600</w:t>
            </w:r>
          </w:p>
        </w:tc>
        <w:tc>
          <w:tcPr>
            <w:tcW w:w="1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学位类别</w:t>
            </w:r>
          </w:p>
        </w:tc>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lang w:bidi="ar"/>
              </w:rPr>
              <w:t>学术型学位</w:t>
            </w:r>
          </w:p>
        </w:tc>
      </w:tr>
      <w:tr>
        <w:tblPrEx>
          <w:tblCellMar>
            <w:top w:w="0" w:type="dxa"/>
            <w:left w:w="0" w:type="dxa"/>
            <w:bottom w:w="0" w:type="dxa"/>
            <w:right w:w="0" w:type="dxa"/>
          </w:tblCellMar>
        </w:tblPrEx>
        <w:trPr>
          <w:trHeight w:val="637" w:hRule="atLeast"/>
        </w:trPr>
        <w:tc>
          <w:tcPr>
            <w:tcW w:w="1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学习形式</w:t>
            </w:r>
          </w:p>
        </w:tc>
        <w:tc>
          <w:tcPr>
            <w:tcW w:w="223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Cs/>
                <w:color w:val="000000"/>
                <w:sz w:val="24"/>
                <w:szCs w:val="24"/>
                <w:lang w:bidi="ar"/>
              </w:rPr>
              <w:t>全日制</w:t>
            </w:r>
          </w:p>
        </w:tc>
        <w:tc>
          <w:tcPr>
            <w:tcW w:w="198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学制</w:t>
            </w:r>
          </w:p>
        </w:tc>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bdr w:val="single" w:color="auto" w:sz="4" w:space="0"/>
              </w:rPr>
              <w:t>√</w:t>
            </w:r>
            <w:r>
              <w:rPr>
                <w:rFonts w:hint="eastAsia" w:ascii="仿宋_GB2312" w:hAnsi="仿宋_GB2312" w:eastAsia="仿宋_GB2312" w:cs="仿宋_GB2312"/>
                <w:color w:val="000000"/>
                <w:sz w:val="24"/>
                <w:szCs w:val="24"/>
              </w:rPr>
              <w:t>博士研究生（四年）</w:t>
            </w:r>
          </w:p>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bdr w:val="single" w:color="auto" w:sz="4" w:space="0"/>
              </w:rPr>
              <w:t>√</w:t>
            </w:r>
            <w:r>
              <w:rPr>
                <w:rFonts w:hint="eastAsia" w:ascii="仿宋_GB2312" w:hAnsi="仿宋_GB2312" w:eastAsia="仿宋_GB2312" w:cs="仿宋_GB2312"/>
                <w:color w:val="000000"/>
                <w:sz w:val="24"/>
                <w:szCs w:val="24"/>
              </w:rPr>
              <w:t>直博生（五年）</w:t>
            </w:r>
          </w:p>
        </w:tc>
      </w:tr>
      <w:tr>
        <w:tblPrEx>
          <w:tblCellMar>
            <w:top w:w="0" w:type="dxa"/>
            <w:left w:w="0" w:type="dxa"/>
            <w:bottom w:w="0" w:type="dxa"/>
            <w:right w:w="0" w:type="dxa"/>
          </w:tblCellMar>
        </w:tblPrEx>
        <w:trPr>
          <w:trHeight w:val="637" w:hRule="atLeast"/>
        </w:trPr>
        <w:tc>
          <w:tcPr>
            <w:tcW w:w="1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本方案总学分</w:t>
            </w:r>
          </w:p>
        </w:tc>
        <w:tc>
          <w:tcPr>
            <w:tcW w:w="223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textAlignment w:val="center"/>
              <w:rPr>
                <w:rFonts w:hint="default" w:ascii="仿宋_GB2312" w:hAnsi="仿宋_GB2312" w:eastAsia="仿宋_GB2312" w:cs="仿宋_GB2312"/>
                <w:bCs/>
                <w:color w:val="000000"/>
                <w:sz w:val="24"/>
                <w:szCs w:val="24"/>
                <w:lang w:val="en-US" w:eastAsia="zh-CN" w:bidi="ar"/>
              </w:rPr>
            </w:pPr>
            <w:r>
              <w:rPr>
                <w:rFonts w:hint="eastAsia" w:ascii="仿宋_GB2312" w:hAnsi="仿宋_GB2312" w:eastAsia="仿宋_GB2312" w:cs="仿宋_GB2312"/>
                <w:bCs/>
                <w:color w:val="000000"/>
                <w:sz w:val="24"/>
                <w:szCs w:val="24"/>
                <w:lang w:val="en-US" w:eastAsia="zh-CN" w:bidi="ar"/>
              </w:rPr>
              <w:t>28</w:t>
            </w:r>
          </w:p>
        </w:tc>
        <w:tc>
          <w:tcPr>
            <w:tcW w:w="198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_GB2312" w:hAnsi="仿宋_GB2312" w:eastAsia="仿宋_GB2312" w:cs="仿宋_GB2312"/>
                <w:b/>
                <w:color w:val="000000"/>
                <w:sz w:val="24"/>
                <w:szCs w:val="24"/>
                <w:lang w:bidi="ar"/>
              </w:rPr>
            </w:pPr>
            <w:r>
              <w:rPr>
                <w:rFonts w:hint="eastAsia" w:ascii="仿宋_GB2312" w:hAnsi="仿宋_GB2312" w:eastAsia="仿宋_GB2312" w:cs="仿宋_GB2312"/>
                <w:b/>
                <w:color w:val="000000"/>
                <w:sz w:val="24"/>
                <w:szCs w:val="24"/>
                <w:lang w:bidi="ar"/>
              </w:rPr>
              <w:t>研究生个人培养计划要求总学分</w:t>
            </w:r>
          </w:p>
        </w:tc>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_GB2312" w:hAnsi="仿宋_GB2312" w:eastAsia="仿宋_GB2312" w:cs="仿宋_GB2312"/>
                <w:bCs/>
                <w:color w:val="000000"/>
                <w:sz w:val="24"/>
                <w:szCs w:val="24"/>
                <w:lang w:val="en-US" w:eastAsia="zh-CN" w:bidi="ar"/>
              </w:rPr>
            </w:pPr>
            <w:r>
              <w:rPr>
                <w:rFonts w:hint="eastAsia" w:ascii="仿宋_GB2312" w:hAnsi="仿宋_GB2312" w:eastAsia="仿宋_GB2312" w:cs="仿宋_GB2312"/>
                <w:bCs/>
                <w:color w:val="000000"/>
                <w:sz w:val="24"/>
                <w:szCs w:val="24"/>
                <w:lang w:val="en-US" w:eastAsia="zh-CN" w:bidi="ar"/>
              </w:rPr>
              <w:t>12</w:t>
            </w:r>
          </w:p>
        </w:tc>
      </w:tr>
      <w:tr>
        <w:tblPrEx>
          <w:tblCellMar>
            <w:top w:w="0" w:type="dxa"/>
            <w:left w:w="0" w:type="dxa"/>
            <w:bottom w:w="0" w:type="dxa"/>
            <w:right w:w="0" w:type="dxa"/>
          </w:tblCellMar>
        </w:tblPrEx>
        <w:trPr>
          <w:trHeight w:val="499" w:hRule="atLeas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学科点说明：</w:t>
            </w:r>
          </w:p>
          <w:p>
            <w:pPr>
              <w:keepNext w:val="0"/>
              <w:keepLines w:val="0"/>
              <w:pageBreakBefore w:val="0"/>
              <w:widowControl/>
              <w:kinsoku/>
              <w:wordWrap/>
              <w:overflowPunct/>
              <w:topLinePunct w:val="0"/>
              <w:autoSpaceDE/>
              <w:autoSpaceDN/>
              <w:bidi w:val="0"/>
              <w:adjustRightInd/>
              <w:snapToGrid/>
              <w:spacing w:line="312" w:lineRule="auto"/>
              <w:ind w:firstLine="560" w:firstLineChars="200"/>
              <w:textAlignment w:val="auto"/>
              <w:rPr>
                <w:rFonts w:hint="default" w:ascii="仿宋_GB2312" w:hAnsi="仿宋_GB2312" w:eastAsia="仿宋" w:cs="仿宋_GB2312"/>
                <w:color w:val="000000"/>
                <w:sz w:val="24"/>
                <w:szCs w:val="24"/>
                <w:lang w:val="en-US" w:eastAsia="zh-CN"/>
              </w:rPr>
            </w:pPr>
            <w:r>
              <w:rPr>
                <w:rFonts w:hint="eastAsia" w:ascii="仿宋" w:hAnsi="仿宋" w:eastAsia="仿宋" w:cs="仿宋"/>
                <w:color w:val="auto"/>
                <w:sz w:val="28"/>
                <w:szCs w:val="28"/>
                <w:lang w:val="en-US" w:eastAsia="zh-CN"/>
              </w:rPr>
              <w:t>冶金工程于</w:t>
            </w:r>
            <w:r>
              <w:rPr>
                <w:rFonts w:hint="eastAsia" w:ascii="仿宋" w:hAnsi="仿宋" w:eastAsia="仿宋" w:cs="仿宋"/>
                <w:color w:val="auto"/>
                <w:sz w:val="28"/>
                <w:szCs w:val="28"/>
              </w:rPr>
              <w:t>2013 年获得一级学科博士学位授予权</w:t>
            </w:r>
            <w:r>
              <w:rPr>
                <w:rFonts w:hint="eastAsia" w:ascii="仿宋" w:hAnsi="仿宋" w:eastAsia="仿宋" w:cs="仿宋"/>
                <w:color w:val="auto"/>
                <w:sz w:val="28"/>
                <w:szCs w:val="28"/>
                <w:lang w:eastAsia="zh-CN"/>
              </w:rPr>
              <w:t>，</w:t>
            </w:r>
            <w:r>
              <w:rPr>
                <w:rFonts w:hint="eastAsia" w:ascii="仿宋" w:hAnsi="仿宋" w:eastAsia="仿宋" w:cs="仿宋"/>
                <w:sz w:val="28"/>
                <w:szCs w:val="28"/>
                <w:lang w:val="en-US" w:eastAsia="zh-CN"/>
              </w:rPr>
              <w:t>形成了</w:t>
            </w:r>
            <w:r>
              <w:rPr>
                <w:rFonts w:hint="eastAsia" w:ascii="仿宋" w:hAnsi="仿宋" w:eastAsia="仿宋" w:cs="仿宋"/>
                <w:sz w:val="28"/>
                <w:szCs w:val="28"/>
              </w:rPr>
              <w:t>白云鄂博战略矿产资源高效分离与提取、钢铁冶金理论及低碳智能新技术、先进高性能金属材料设计与制备、稀土资源利用物理化学4个优势特色学科方向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拥有自治区杰出人才在内的高水平师资队伍，拥有4个国家级平台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培养具有宽厚基础理论知识的德才兼备的冶金工程领域拔尖人才。</w:t>
            </w: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负责人（签字）：</w:t>
            </w:r>
          </w:p>
          <w:p>
            <w:pPr>
              <w:jc w:val="right"/>
              <w:rPr>
                <w:rFonts w:ascii="仿宋_GB2312" w:hAnsi="仿宋_GB2312" w:eastAsia="仿宋_GB2312" w:cs="仿宋_GB2312"/>
                <w:color w:val="000000"/>
                <w:sz w:val="24"/>
                <w:szCs w:val="24"/>
              </w:rPr>
            </w:pPr>
          </w:p>
          <w:p>
            <w:pPr>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p>
            <w:pPr>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99" w:hRule="atLeast"/>
        </w:trPr>
        <w:tc>
          <w:tcPr>
            <w:tcW w:w="83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学院学位评定分委员会审查意见：</w:t>
            </w: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负责人（签字、单位公章）：</w:t>
            </w:r>
          </w:p>
          <w:p>
            <w:pPr>
              <w:jc w:val="right"/>
              <w:rPr>
                <w:rFonts w:ascii="仿宋_GB2312" w:hAnsi="仿宋_GB2312" w:eastAsia="仿宋_GB2312" w:cs="仿宋_GB2312"/>
                <w:color w:val="000000"/>
                <w:sz w:val="24"/>
                <w:szCs w:val="24"/>
              </w:rPr>
            </w:pPr>
          </w:p>
          <w:p>
            <w:pPr>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bl>
    <w:p>
      <w:pPr>
        <w:pStyle w:val="7"/>
        <w:sectPr>
          <w:footerReference r:id="rId4" w:type="first"/>
          <w:headerReference r:id="rId3" w:type="default"/>
          <w:pgSz w:w="11906" w:h="16838"/>
          <w:pgMar w:top="1417" w:right="1701" w:bottom="1417" w:left="1417" w:header="850" w:footer="992" w:gutter="0"/>
          <w:pgNumType w:start="18"/>
          <w:cols w:space="720" w:num="1"/>
          <w:docGrid w:type="lines" w:linePitch="318" w:charSpace="0"/>
        </w:sectPr>
      </w:pPr>
    </w:p>
    <w:p>
      <w:pPr>
        <w:pStyle w:val="2"/>
        <w:rPr>
          <w:sz w:val="32"/>
        </w:rPr>
      </w:pPr>
      <w:bookmarkStart w:id="1" w:name="_Toc335050430"/>
      <w:bookmarkStart w:id="2" w:name="_Toc239825908"/>
      <w:r>
        <w:rPr>
          <w:rFonts w:hint="eastAsia"/>
          <w:sz w:val="32"/>
        </w:rPr>
        <w:t>内蒙古科技大学冶金工程博士研究生培养方案</w:t>
      </w:r>
      <w:bookmarkEnd w:id="1"/>
      <w:bookmarkEnd w:id="2"/>
    </w:p>
    <w:p>
      <w:pPr>
        <w:spacing w:line="271" w:lineRule="exact"/>
        <w:jc w:val="center"/>
        <w:rPr>
          <w:sz w:val="24"/>
          <w:szCs w:val="24"/>
        </w:rPr>
      </w:pPr>
      <w:r>
        <w:rPr>
          <w:rFonts w:hint="eastAsia"/>
          <w:b/>
          <w:bCs/>
          <w:sz w:val="28"/>
          <w:szCs w:val="28"/>
        </w:rPr>
        <w:t>（学科代码：0806</w:t>
      </w:r>
      <w:r>
        <w:rPr>
          <w:rFonts w:hint="eastAsia"/>
          <w:b/>
          <w:bCs/>
          <w:sz w:val="28"/>
          <w:szCs w:val="28"/>
          <w:lang w:val="en-US" w:eastAsia="zh-CN"/>
        </w:rPr>
        <w:t>00</w:t>
      </w:r>
      <w:r>
        <w:rPr>
          <w:rFonts w:hint="eastAsia"/>
          <w:b/>
          <w:bCs/>
          <w:sz w:val="28"/>
          <w:szCs w:val="28"/>
        </w:rPr>
        <w:t>）</w:t>
      </w:r>
    </w:p>
    <w:p>
      <w:pPr>
        <w:spacing w:line="274" w:lineRule="exact"/>
        <w:ind w:left="360"/>
        <w:rPr>
          <w:sz w:val="24"/>
          <w:szCs w:val="24"/>
        </w:rPr>
      </w:pPr>
      <w:r>
        <w:rPr>
          <w:rFonts w:ascii="黑体" w:hAnsi="黑体" w:eastAsia="黑体" w:cs="黑体"/>
          <w:b/>
          <w:bCs/>
          <w:sz w:val="24"/>
          <w:szCs w:val="24"/>
        </w:rPr>
        <w:t>一、学科简介</w:t>
      </w:r>
    </w:p>
    <w:p>
      <w:pPr>
        <w:spacing w:line="425" w:lineRule="exact"/>
        <w:ind w:left="360" w:right="266" w:firstLine="420"/>
        <w:rPr>
          <w:rFonts w:hint="eastAsia" w:ascii="仿宋" w:hAnsi="仿宋" w:eastAsia="仿宋" w:cs="仿宋"/>
          <w:sz w:val="28"/>
          <w:szCs w:val="28"/>
        </w:rPr>
      </w:pPr>
      <w:r>
        <w:rPr>
          <w:rFonts w:hint="eastAsia" w:ascii="仿宋" w:hAnsi="仿宋" w:eastAsia="仿宋" w:cs="仿宋"/>
          <w:color w:val="auto"/>
          <w:sz w:val="28"/>
          <w:szCs w:val="28"/>
        </w:rPr>
        <w:t>本学科为内蒙古自治区重点学科、优势特色学科，始建于 1956 年</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钢铁冶金于1991 年获得硕士学位授予权，冶金工程于2005年获得一级学科硕士学位授予权，2013 年获得一级学科博士学位授予权。</w:t>
      </w:r>
      <w:r>
        <w:rPr>
          <w:rFonts w:hint="eastAsia" w:ascii="仿宋" w:hAnsi="仿宋" w:eastAsia="仿宋" w:cs="仿宋"/>
          <w:color w:val="auto"/>
          <w:sz w:val="28"/>
          <w:szCs w:val="28"/>
          <w:lang w:eastAsia="zh-CN"/>
        </w:rPr>
        <w:t>冶金工程</w:t>
      </w:r>
      <w:r>
        <w:rPr>
          <w:rFonts w:hint="eastAsia" w:ascii="仿宋" w:hAnsi="仿宋" w:eastAsia="仿宋" w:cs="仿宋"/>
          <w:color w:val="auto"/>
          <w:sz w:val="28"/>
          <w:szCs w:val="28"/>
        </w:rPr>
        <w:t>是国家级</w:t>
      </w:r>
      <w:r>
        <w:rPr>
          <w:rFonts w:hint="eastAsia" w:ascii="仿宋" w:hAnsi="仿宋" w:eastAsia="仿宋" w:cs="仿宋"/>
          <w:color w:val="auto"/>
          <w:sz w:val="28"/>
          <w:szCs w:val="28"/>
          <w:lang w:eastAsia="zh-CN"/>
        </w:rPr>
        <w:t>一流专业和</w:t>
      </w:r>
      <w:r>
        <w:rPr>
          <w:rFonts w:hint="eastAsia" w:ascii="仿宋" w:hAnsi="仿宋" w:eastAsia="仿宋" w:cs="仿宋"/>
          <w:color w:val="auto"/>
          <w:sz w:val="28"/>
          <w:szCs w:val="28"/>
        </w:rPr>
        <w:t>特色专业建设点、</w:t>
      </w:r>
      <w:r>
        <w:rPr>
          <w:rFonts w:hint="eastAsia" w:ascii="仿宋" w:hAnsi="仿宋" w:eastAsia="仿宋" w:cs="仿宋"/>
          <w:color w:val="auto"/>
          <w:sz w:val="28"/>
          <w:szCs w:val="28"/>
          <w:lang w:eastAsia="zh-CN"/>
        </w:rPr>
        <w:t>国家级</w:t>
      </w:r>
      <w:r>
        <w:rPr>
          <w:rFonts w:hint="eastAsia" w:ascii="仿宋" w:hAnsi="仿宋" w:eastAsia="仿宋" w:cs="仿宋"/>
          <w:color w:val="auto"/>
          <w:sz w:val="28"/>
          <w:szCs w:val="28"/>
        </w:rPr>
        <w:t>专业综合改革试点</w:t>
      </w:r>
      <w:r>
        <w:rPr>
          <w:rFonts w:hint="eastAsia" w:ascii="仿宋" w:hAnsi="仿宋" w:eastAsia="仿宋" w:cs="仿宋"/>
          <w:color w:val="auto"/>
          <w:sz w:val="28"/>
          <w:szCs w:val="28"/>
          <w:lang w:eastAsia="zh-CN"/>
        </w:rPr>
        <w:t>。</w:t>
      </w:r>
      <w:r>
        <w:rPr>
          <w:rFonts w:hint="eastAsia" w:ascii="仿宋" w:hAnsi="仿宋" w:eastAsia="仿宋" w:cs="仿宋"/>
          <w:sz w:val="28"/>
          <w:szCs w:val="28"/>
        </w:rPr>
        <w:t>面向国家和自治区经济社会发展重大战略需求，依托内蒙古钢铁和稀土资源及产业优势，围绕白云鄂博战略矿产资源高效分离与提取、钢铁冶金理论及低碳智能新技术、先进高性能金属材料设计与制备、稀土资源利用物理化学4个优势特色学科方向，承担了以国家重点研发计划项目（牵头单位）“白云鄂博稀土矿产资源基地固废循环利用集成示范”和国家自然科学基金重点项目“典型轻稀土及伴生资源高效清洁提取关键技术基础研究”为代表的基础前沿、技术创新和应用示范研究项目。</w:t>
      </w:r>
    </w:p>
    <w:p>
      <w:pPr>
        <w:spacing w:line="425" w:lineRule="exact"/>
        <w:ind w:left="360" w:right="266" w:firstLine="420"/>
        <w:rPr>
          <w:rFonts w:hint="eastAsia" w:ascii="仿宋" w:hAnsi="仿宋" w:eastAsia="仿宋" w:cs="仿宋"/>
          <w:sz w:val="28"/>
          <w:szCs w:val="28"/>
        </w:rPr>
      </w:pPr>
      <w:r>
        <w:rPr>
          <w:rFonts w:hint="eastAsia" w:ascii="仿宋" w:hAnsi="仿宋" w:eastAsia="仿宋" w:cs="仿宋"/>
          <w:sz w:val="28"/>
          <w:szCs w:val="28"/>
        </w:rPr>
        <w:t>本学科现有教师 44 人，其中教授 13 人，博士生导师9人，具有博士学位的教师 28 人。拥有内蒙古自治区白云鄂博矿多金属资源综合利用国家重点实验室培（育基地）、轻稀土资源绿色提取与高效利用教育部重点实验室、自治区先进陶瓷与器件重点实验室、自治区冶金工程高校重点实验室等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10</w:t>
      </w:r>
      <w:r>
        <w:rPr>
          <w:rFonts w:hint="eastAsia" w:ascii="仿宋" w:hAnsi="仿宋" w:eastAsia="仿宋" w:cs="仿宋"/>
          <w:sz w:val="28"/>
          <w:szCs w:val="28"/>
        </w:rPr>
        <w:t>个省部级以上研究平台。长期与瑞典、法国、澳大利亚、日本、比利时等国家的高校、科研院所开展科研合作和人才联合培养，并与北京科技大学、北京化工大学、上海大学、内蒙古大学、内蒙古工业大学等国内高校联合培养博士研究生。</w:t>
      </w:r>
    </w:p>
    <w:p>
      <w:pPr>
        <w:spacing w:line="425" w:lineRule="exact"/>
        <w:ind w:left="360" w:right="266" w:firstLine="420"/>
        <w:rPr>
          <w:sz w:val="24"/>
          <w:szCs w:val="24"/>
        </w:rPr>
      </w:pPr>
      <w:r>
        <w:rPr>
          <w:rFonts w:hint="eastAsia" w:ascii="仿宋" w:hAnsi="仿宋" w:eastAsia="仿宋" w:cs="仿宋"/>
          <w:sz w:val="28"/>
          <w:szCs w:val="28"/>
        </w:rPr>
        <w:t>本学科围绕内蒙古自治区资源高效、绿色利用，产业转型升级，经济社会高质量发展的高级专业人才需求，培养了一大批大中型冶金企业管理者、技术专家和高校教师，已成为西北地区钢铁和稀土冶金高层次人才的重要培养基地。</w:t>
      </w:r>
    </w:p>
    <w:p>
      <w:pPr>
        <w:spacing w:line="274" w:lineRule="exact"/>
        <w:ind w:left="360"/>
        <w:rPr>
          <w:sz w:val="20"/>
          <w:szCs w:val="20"/>
        </w:rPr>
      </w:pPr>
      <w:r>
        <w:rPr>
          <w:rFonts w:ascii="黑体" w:hAnsi="黑体" w:eastAsia="黑体" w:cs="黑体"/>
          <w:b/>
          <w:bCs/>
          <w:sz w:val="24"/>
          <w:szCs w:val="24"/>
        </w:rPr>
        <w:t>二、培养目标</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color w:val="auto"/>
          <w:sz w:val="28"/>
          <w:szCs w:val="28"/>
          <w:lang w:eastAsia="zh-CN"/>
        </w:rPr>
        <w:t>培养</w:t>
      </w:r>
      <w:r>
        <w:rPr>
          <w:rFonts w:hint="eastAsia" w:ascii="仿宋" w:hAnsi="仿宋" w:eastAsia="仿宋" w:cs="仿宋"/>
          <w:sz w:val="28"/>
          <w:szCs w:val="28"/>
        </w:rPr>
        <w:t>拥护中国共产党的领导，认真学习中国特色社会主义理论体系，热爱祖国、遵纪守法、品行端正、诚实守信、身心健康的德智体美劳全面发展，适应地区经济建设和社会发展需要的创新型人才。</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2、在冶金物理化学、冶金传输理论和金属学等方面具备扎实的理论基础和宽广的知识面，在所研究领域具有深入系统的专门知识，掌握学科前沿的最新动态和发展趋势。</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3、具有独立从事科学研究工作的能力。能够获取和利用各种科研文献，基于科学原理和科学方法，有效运用计算机、先进实验技术和检测方法进行冶金新工艺、新技术、新产品及相关理论方面的研究。</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4、具有较强的创新能力，在科学理论或技术开发上做出创新性成果。博士论文应做到在理论上有创见，方法上有创新或在应用上有突破。</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5、具备与外部合作交流能力和一定的组织能力，能够积极主动创造合作或交流的机会，</w:t>
      </w:r>
      <w:bookmarkStart w:id="3" w:name="page2"/>
      <w:bookmarkEnd w:id="3"/>
      <w:r>
        <w:rPr>
          <w:rFonts w:hint="eastAsia" w:ascii="仿宋" w:hAnsi="仿宋" w:eastAsia="仿宋" w:cs="仿宋"/>
          <w:sz w:val="28"/>
          <w:szCs w:val="28"/>
        </w:rPr>
        <w:t>能够在多学科背景下承担团队负责人的角色。</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6、至少掌握一门外国语，能够熟练阅读本专业及相关学科外文资料，具有撰写科技论文和进行国际学术交流的能力。</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7、严谨治学，诚实守信，遵守科学研究者的职业道德。能胜任高等学校、科研机构和企业的相关教学、科研、工程设计和技术开发等技术工作或管理工作。</w:t>
      </w:r>
    </w:p>
    <w:p>
      <w:pPr>
        <w:spacing w:line="274" w:lineRule="exact"/>
        <w:ind w:left="360"/>
        <w:rPr>
          <w:sz w:val="20"/>
          <w:szCs w:val="20"/>
        </w:rPr>
      </w:pPr>
      <w:r>
        <w:rPr>
          <w:rFonts w:hint="eastAsia" w:ascii="黑体" w:hAnsi="黑体" w:eastAsia="黑体" w:cs="黑体"/>
          <w:b/>
          <w:bCs/>
          <w:sz w:val="24"/>
          <w:szCs w:val="24"/>
        </w:rPr>
        <w:t>三</w:t>
      </w:r>
      <w:r>
        <w:rPr>
          <w:rFonts w:ascii="黑体" w:hAnsi="黑体" w:eastAsia="黑体" w:cs="黑体"/>
          <w:b/>
          <w:bCs/>
          <w:sz w:val="24"/>
          <w:szCs w:val="24"/>
        </w:rPr>
        <w:t>、培养方式</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博士研究生培养采取导师负责，并采用导师指导团队共同指导的方式，导师指导团队由包括导师在内的具有副高级（或具有博士学位的讲师）及以上职称的 3-5 名校内外专家组成。导师指导团队采用课程学习、科学研究、学术交流和社会实践相结合的培养方式。研究生入学后一个月内，由导师指导团队与研究生共同制定培养计划，由导师和指导团队负责组织参与研究生的学位论文开题、中期考核、预答辩、答辩等各个环节，指导科学研究和学位论文撰写等。</w:t>
      </w:r>
    </w:p>
    <w:p>
      <w:pPr>
        <w:spacing w:line="274" w:lineRule="exact"/>
        <w:ind w:left="360"/>
        <w:rPr>
          <w:rFonts w:ascii="黑体" w:hAnsi="黑体" w:eastAsia="黑体" w:cs="黑体"/>
          <w:b/>
          <w:bCs/>
          <w:sz w:val="24"/>
          <w:szCs w:val="24"/>
        </w:rPr>
      </w:pPr>
      <w:r>
        <w:rPr>
          <w:rFonts w:hint="eastAsia" w:ascii="宋体" w:hAnsi="宋体"/>
          <w:b/>
          <w:sz w:val="24"/>
        </w:rPr>
        <w:t>四、</w:t>
      </w:r>
      <w:r>
        <w:rPr>
          <w:rFonts w:hint="eastAsia" w:ascii="宋体" w:hAnsi="宋体"/>
          <w:b/>
          <w:color w:val="000000"/>
          <w:sz w:val="24"/>
        </w:rPr>
        <w:t>基本学制和学习年限</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统考入学和申请考核制入学的普通博士研究生的基本学制为4年，课程学习时间一般为1年，申请博士学位最长年限为8年（含休学）。</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直博生基本学制为5年，课程学习时间一般为1.5年，申请博士学位最长年限为8年（含休学）。</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硕博连读博士研究生的基本学制为4年（自进入博士学习阶段算起），博士课程学习时间一般为1年，申请博士学位最长年限为8年（含休学）。</w:t>
      </w:r>
    </w:p>
    <w:p>
      <w:pPr>
        <w:spacing w:line="274" w:lineRule="exact"/>
        <w:ind w:left="360"/>
        <w:rPr>
          <w:sz w:val="20"/>
          <w:szCs w:val="20"/>
        </w:rPr>
      </w:pPr>
      <w:r>
        <w:rPr>
          <w:rFonts w:hint="eastAsia" w:ascii="黑体" w:hAnsi="黑体" w:eastAsia="黑体" w:cs="黑体"/>
          <w:b/>
          <w:bCs/>
          <w:sz w:val="24"/>
          <w:szCs w:val="24"/>
        </w:rPr>
        <w:t>五</w:t>
      </w:r>
      <w:r>
        <w:rPr>
          <w:rFonts w:ascii="黑体" w:hAnsi="黑体" w:eastAsia="黑体" w:cs="黑体"/>
          <w:b/>
          <w:bCs/>
          <w:sz w:val="24"/>
          <w:szCs w:val="24"/>
        </w:rPr>
        <w:t>、研究方向</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1、白云鄂博战略矿产资源高效分离与提取</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2、钢铁冶金理论及低碳智能新技术</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3、先进高性能金属材料设计与制备</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4、稀土资源利用物理化学</w:t>
      </w:r>
    </w:p>
    <w:p>
      <w:pPr>
        <w:spacing w:line="274" w:lineRule="exact"/>
        <w:ind w:left="360"/>
        <w:rPr>
          <w:sz w:val="20"/>
          <w:szCs w:val="20"/>
        </w:rPr>
      </w:pPr>
      <w:r>
        <w:rPr>
          <w:rFonts w:ascii="黑体" w:hAnsi="黑体" w:eastAsia="黑体" w:cs="黑体"/>
          <w:b/>
          <w:bCs/>
          <w:sz w:val="24"/>
          <w:szCs w:val="24"/>
        </w:rPr>
        <w:t>五、</w:t>
      </w:r>
      <w:r>
        <w:rPr>
          <w:rFonts w:hint="eastAsia" w:ascii="宋体" w:hAnsi="宋体"/>
          <w:b/>
          <w:sz w:val="24"/>
        </w:rPr>
        <w:t>课程设置与必修环节要求</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博士研究生（含硕博连读）总学分不低于12学分。直博生应包含硕士课程，总学分不低于32学分。博士期间学位课程最低学分要求7 学分，非学位课程 2 学分，必修环节 3学分。 必修环节要求：博士研究生须参加学术报告与讲座 8 次以上，面向全院师生至少开设 1次学术讲座，记 1 学分。</w:t>
      </w:r>
    </w:p>
    <w:p>
      <w:pPr>
        <w:spacing w:line="274" w:lineRule="exact"/>
        <w:ind w:left="360"/>
        <w:rPr>
          <w:rFonts w:eastAsia="黑体"/>
          <w:sz w:val="20"/>
          <w:szCs w:val="20"/>
        </w:rPr>
      </w:pPr>
      <w:r>
        <w:rPr>
          <w:rFonts w:ascii="黑体" w:hAnsi="黑体" w:eastAsia="黑体" w:cs="黑体"/>
          <w:b/>
          <w:bCs/>
          <w:sz w:val="24"/>
          <w:szCs w:val="24"/>
        </w:rPr>
        <w:t>六、课程设置</w:t>
      </w:r>
    </w:p>
    <w:p>
      <w:pPr>
        <w:spacing w:line="274" w:lineRule="exact"/>
        <w:ind w:left="660" w:leftChars="300"/>
        <w:jc w:val="center"/>
        <w:rPr>
          <w:rFonts w:ascii="黑体" w:hAnsi="黑体" w:eastAsia="黑体" w:cs="黑体"/>
          <w:b/>
          <w:bCs/>
          <w:sz w:val="24"/>
          <w:szCs w:val="24"/>
        </w:rPr>
      </w:pPr>
    </w:p>
    <w:p>
      <w:pPr>
        <w:spacing w:line="274" w:lineRule="exact"/>
        <w:ind w:left="660" w:leftChars="300"/>
        <w:jc w:val="center"/>
        <w:rPr>
          <w:sz w:val="20"/>
          <w:szCs w:val="20"/>
        </w:rPr>
      </w:pPr>
      <w:r>
        <w:rPr>
          <w:rFonts w:ascii="黑体" w:hAnsi="黑体" w:eastAsia="黑体" w:cs="黑体"/>
          <w:b/>
          <w:bCs/>
          <w:sz w:val="24"/>
          <w:szCs w:val="24"/>
        </w:rPr>
        <w:t>博</w:t>
      </w:r>
      <w:r>
        <w:rPr>
          <w:rFonts w:hint="eastAsia" w:ascii="黑体" w:hAnsi="黑体" w:eastAsia="黑体" w:cs="黑体"/>
          <w:b/>
          <w:bCs/>
          <w:sz w:val="24"/>
          <w:szCs w:val="24"/>
        </w:rPr>
        <w:t xml:space="preserve"> </w:t>
      </w:r>
      <w:r>
        <w:rPr>
          <w:rFonts w:ascii="黑体" w:hAnsi="黑体" w:eastAsia="黑体" w:cs="黑体"/>
          <w:b/>
          <w:bCs/>
          <w:sz w:val="24"/>
          <w:szCs w:val="24"/>
        </w:rPr>
        <w:t>士</w:t>
      </w:r>
      <w:r>
        <w:rPr>
          <w:rFonts w:hint="eastAsia" w:ascii="黑体" w:hAnsi="黑体" w:eastAsia="黑体" w:cs="黑体"/>
          <w:b/>
          <w:bCs/>
          <w:sz w:val="24"/>
          <w:szCs w:val="24"/>
        </w:rPr>
        <w:t xml:space="preserve"> </w:t>
      </w:r>
      <w:r>
        <w:rPr>
          <w:rFonts w:ascii="黑体" w:hAnsi="黑体" w:eastAsia="黑体" w:cs="黑体"/>
          <w:b/>
          <w:bCs/>
          <w:sz w:val="24"/>
          <w:szCs w:val="24"/>
        </w:rPr>
        <w:t>研</w:t>
      </w:r>
      <w:r>
        <w:rPr>
          <w:rFonts w:hint="eastAsia" w:ascii="黑体" w:hAnsi="黑体" w:eastAsia="黑体" w:cs="黑体"/>
          <w:b/>
          <w:bCs/>
          <w:sz w:val="24"/>
          <w:szCs w:val="24"/>
        </w:rPr>
        <w:t xml:space="preserve"> </w:t>
      </w:r>
      <w:r>
        <w:rPr>
          <w:rFonts w:ascii="黑体" w:hAnsi="黑体" w:eastAsia="黑体" w:cs="黑体"/>
          <w:b/>
          <w:bCs/>
          <w:sz w:val="24"/>
          <w:szCs w:val="24"/>
        </w:rPr>
        <w:t>究</w:t>
      </w:r>
      <w:r>
        <w:rPr>
          <w:rFonts w:hint="eastAsia" w:ascii="黑体" w:hAnsi="黑体" w:eastAsia="黑体" w:cs="黑体"/>
          <w:b/>
          <w:bCs/>
          <w:sz w:val="24"/>
          <w:szCs w:val="24"/>
        </w:rPr>
        <w:t xml:space="preserve"> </w:t>
      </w:r>
      <w:r>
        <w:rPr>
          <w:rFonts w:ascii="黑体" w:hAnsi="黑体" w:eastAsia="黑体" w:cs="黑体"/>
          <w:b/>
          <w:bCs/>
          <w:sz w:val="24"/>
          <w:szCs w:val="24"/>
        </w:rPr>
        <w:t>生</w:t>
      </w:r>
      <w:r>
        <w:rPr>
          <w:rFonts w:hint="eastAsia" w:ascii="黑体" w:hAnsi="黑体" w:eastAsia="黑体" w:cs="黑体"/>
          <w:b/>
          <w:bCs/>
          <w:sz w:val="24"/>
          <w:szCs w:val="24"/>
        </w:rPr>
        <w:t xml:space="preserve"> </w:t>
      </w:r>
      <w:r>
        <w:rPr>
          <w:rFonts w:ascii="黑体" w:hAnsi="黑体" w:eastAsia="黑体" w:cs="黑体"/>
          <w:b/>
          <w:bCs/>
          <w:sz w:val="24"/>
          <w:szCs w:val="24"/>
        </w:rPr>
        <w:t>课</w:t>
      </w:r>
      <w:r>
        <w:rPr>
          <w:rFonts w:hint="eastAsia" w:ascii="黑体" w:hAnsi="黑体" w:eastAsia="黑体" w:cs="黑体"/>
          <w:b/>
          <w:bCs/>
          <w:sz w:val="24"/>
          <w:szCs w:val="24"/>
        </w:rPr>
        <w:t xml:space="preserve"> </w:t>
      </w:r>
      <w:r>
        <w:rPr>
          <w:rFonts w:ascii="黑体" w:hAnsi="黑体" w:eastAsia="黑体" w:cs="黑体"/>
          <w:b/>
          <w:bCs/>
          <w:sz w:val="24"/>
          <w:szCs w:val="24"/>
        </w:rPr>
        <w:t>程</w:t>
      </w:r>
      <w:r>
        <w:rPr>
          <w:rFonts w:hint="eastAsia" w:ascii="黑体" w:hAnsi="黑体" w:eastAsia="黑体" w:cs="黑体"/>
          <w:b/>
          <w:bCs/>
          <w:sz w:val="24"/>
          <w:szCs w:val="24"/>
        </w:rPr>
        <w:t xml:space="preserve"> </w:t>
      </w:r>
      <w:r>
        <w:rPr>
          <w:rFonts w:ascii="黑体" w:hAnsi="黑体" w:eastAsia="黑体" w:cs="黑体"/>
          <w:b/>
          <w:bCs/>
          <w:sz w:val="24"/>
          <w:szCs w:val="24"/>
        </w:rPr>
        <w:t>设</w:t>
      </w:r>
      <w:r>
        <w:rPr>
          <w:rFonts w:hint="eastAsia" w:ascii="黑体" w:hAnsi="黑体" w:eastAsia="黑体" w:cs="黑体"/>
          <w:b/>
          <w:bCs/>
          <w:sz w:val="24"/>
          <w:szCs w:val="24"/>
        </w:rPr>
        <w:t xml:space="preserve"> </w:t>
      </w:r>
      <w:r>
        <w:rPr>
          <w:rFonts w:ascii="黑体" w:hAnsi="黑体" w:eastAsia="黑体" w:cs="黑体"/>
          <w:b/>
          <w:bCs/>
          <w:sz w:val="24"/>
          <w:szCs w:val="24"/>
        </w:rPr>
        <w:t>置</w:t>
      </w:r>
    </w:p>
    <w:p>
      <w:pPr>
        <w:spacing w:line="96" w:lineRule="exact"/>
        <w:rPr>
          <w:sz w:val="20"/>
          <w:szCs w:val="20"/>
        </w:rPr>
      </w:pPr>
    </w:p>
    <w:tbl>
      <w:tblPr>
        <w:tblStyle w:val="8"/>
        <w:tblW w:w="8510" w:type="dxa"/>
        <w:tblInd w:w="369" w:type="dxa"/>
        <w:tblLayout w:type="fixed"/>
        <w:tblCellMar>
          <w:top w:w="0" w:type="dxa"/>
          <w:left w:w="0" w:type="dxa"/>
          <w:bottom w:w="0" w:type="dxa"/>
          <w:right w:w="0" w:type="dxa"/>
        </w:tblCellMar>
      </w:tblPr>
      <w:tblGrid>
        <w:gridCol w:w="440"/>
        <w:gridCol w:w="1040"/>
        <w:gridCol w:w="1620"/>
        <w:gridCol w:w="1500"/>
        <w:gridCol w:w="600"/>
        <w:gridCol w:w="620"/>
        <w:gridCol w:w="600"/>
        <w:gridCol w:w="1060"/>
        <w:gridCol w:w="1000"/>
        <w:gridCol w:w="30"/>
      </w:tblGrid>
      <w:tr>
        <w:tblPrEx>
          <w:tblCellMar>
            <w:top w:w="0" w:type="dxa"/>
            <w:left w:w="0" w:type="dxa"/>
            <w:bottom w:w="0" w:type="dxa"/>
            <w:right w:w="0" w:type="dxa"/>
          </w:tblCellMar>
        </w:tblPrEx>
        <w:trPr>
          <w:trHeight w:val="0" w:hRule="atLeast"/>
        </w:trPr>
        <w:tc>
          <w:tcPr>
            <w:tcW w:w="31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宋体" w:hAnsi="宋体" w:eastAsia="宋体" w:cs="宋体"/>
                <w:b/>
                <w:bCs/>
                <w:sz w:val="21"/>
                <w:szCs w:val="21"/>
              </w:rPr>
              <w:t>材料与冶金学院</w:t>
            </w:r>
          </w:p>
        </w:tc>
        <w:tc>
          <w:tcPr>
            <w:tcW w:w="272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宋体" w:hAnsi="宋体" w:eastAsia="宋体" w:cs="宋体"/>
                <w:b/>
                <w:bCs/>
                <w:sz w:val="21"/>
                <w:szCs w:val="21"/>
              </w:rPr>
              <w:t>学科专业</w:t>
            </w:r>
          </w:p>
        </w:tc>
        <w:tc>
          <w:tcPr>
            <w:tcW w:w="26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宋体" w:hAnsi="宋体" w:eastAsia="宋体" w:cs="宋体"/>
                <w:b/>
                <w:bCs/>
                <w:sz w:val="21"/>
                <w:szCs w:val="21"/>
              </w:rPr>
              <w:t>冶金工程</w:t>
            </w: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restart"/>
            <w:tcBorders>
              <w:top w:val="single" w:color="auto" w:sz="4" w:space="0"/>
              <w:left w:val="single" w:color="auto" w:sz="4" w:space="0"/>
              <w:right w:val="single" w:color="auto" w:sz="4" w:space="0"/>
            </w:tcBorders>
            <w:vAlign w:val="center"/>
          </w:tcPr>
          <w:p>
            <w:pPr>
              <w:spacing w:line="206" w:lineRule="exact"/>
              <w:ind w:left="120"/>
              <w:jc w:val="both"/>
              <w:rPr>
                <w:rFonts w:ascii="宋体" w:hAnsi="宋体" w:eastAsia="宋体" w:cs="宋体"/>
                <w:sz w:val="18"/>
                <w:szCs w:val="18"/>
              </w:rPr>
            </w:pPr>
            <w:r>
              <w:rPr>
                <w:rFonts w:ascii="宋体" w:hAnsi="宋体" w:eastAsia="宋体" w:cs="宋体"/>
                <w:sz w:val="18"/>
                <w:szCs w:val="18"/>
              </w:rPr>
              <w:t>公</w:t>
            </w:r>
          </w:p>
          <w:p>
            <w:pPr>
              <w:spacing w:line="206" w:lineRule="exact"/>
              <w:ind w:left="120"/>
              <w:jc w:val="both"/>
              <w:rPr>
                <w:sz w:val="20"/>
                <w:szCs w:val="20"/>
              </w:rPr>
            </w:pPr>
          </w:p>
          <w:p>
            <w:pPr>
              <w:spacing w:line="206" w:lineRule="exact"/>
              <w:ind w:left="120"/>
              <w:jc w:val="both"/>
              <w:rPr>
                <w:rFonts w:ascii="宋体" w:hAnsi="宋体" w:eastAsia="宋体" w:cs="宋体"/>
                <w:sz w:val="18"/>
                <w:szCs w:val="18"/>
              </w:rPr>
            </w:pPr>
            <w:r>
              <w:rPr>
                <w:rFonts w:hint="eastAsia" w:ascii="宋体" w:hAnsi="宋体" w:eastAsia="宋体" w:cs="宋体"/>
                <w:sz w:val="18"/>
                <w:szCs w:val="18"/>
              </w:rPr>
              <w:t>共</w:t>
            </w:r>
          </w:p>
          <w:p>
            <w:pPr>
              <w:spacing w:line="206" w:lineRule="exact"/>
              <w:jc w:val="both"/>
              <w:rPr>
                <w:sz w:val="12"/>
                <w:szCs w:val="12"/>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必</w:t>
            </w:r>
          </w:p>
          <w:p>
            <w:pPr>
              <w:spacing w:line="206" w:lineRule="exact"/>
              <w:ind w:left="120"/>
              <w:jc w:val="both"/>
              <w:rPr>
                <w:sz w:val="20"/>
                <w:szCs w:val="20"/>
              </w:rPr>
            </w:pPr>
          </w:p>
          <w:p>
            <w:pPr>
              <w:spacing w:line="206" w:lineRule="exact"/>
              <w:ind w:left="120"/>
              <w:jc w:val="both"/>
              <w:rPr>
                <w:sz w:val="20"/>
                <w:szCs w:val="20"/>
              </w:rPr>
            </w:pPr>
            <w:r>
              <w:rPr>
                <w:rFonts w:ascii="宋体" w:hAnsi="宋体" w:eastAsia="宋体" w:cs="宋体"/>
                <w:sz w:val="18"/>
                <w:szCs w:val="18"/>
              </w:rPr>
              <w:t>修</w:t>
            </w:r>
          </w:p>
        </w:tc>
        <w:tc>
          <w:tcPr>
            <w:tcW w:w="104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课程编号</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sz w:val="18"/>
                <w:szCs w:val="18"/>
              </w:rPr>
              <w:t>课 程 名 称</w:t>
            </w:r>
          </w:p>
        </w:tc>
        <w:tc>
          <w:tcPr>
            <w:tcW w:w="60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学时</w:t>
            </w:r>
          </w:p>
        </w:tc>
        <w:tc>
          <w:tcPr>
            <w:tcW w:w="6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学分</w:t>
            </w:r>
          </w:p>
        </w:tc>
        <w:tc>
          <w:tcPr>
            <w:tcW w:w="60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学期</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考试方式</w:t>
            </w:r>
          </w:p>
        </w:tc>
        <w:tc>
          <w:tcPr>
            <w:tcW w:w="100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b/>
                <w:sz w:val="20"/>
                <w:szCs w:val="20"/>
              </w:rPr>
            </w:pPr>
            <w:r>
              <w:rPr>
                <w:rFonts w:ascii="宋体" w:hAnsi="宋体" w:eastAsia="宋体" w:cs="宋体"/>
                <w:b/>
                <w:w w:val="99"/>
                <w:sz w:val="18"/>
                <w:szCs w:val="18"/>
              </w:rPr>
              <w:t>备注</w:t>
            </w: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12"/>
                <w:szCs w:val="12"/>
              </w:rPr>
            </w:pP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100010105</w:t>
            </w:r>
          </w:p>
        </w:tc>
        <w:tc>
          <w:tcPr>
            <w:tcW w:w="312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中国马克思主义与当代</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eastAsia="仿宋_GB2312"/>
                <w:sz w:val="18"/>
                <w:szCs w:val="18"/>
              </w:rPr>
              <w:t>3</w:t>
            </w:r>
            <w:r>
              <w:rPr>
                <w:rFonts w:hint="eastAsia" w:eastAsia="仿宋_GB2312"/>
                <w:sz w:val="18"/>
                <w:szCs w:val="18"/>
              </w:rPr>
              <w:t>2</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eastAsia="仿宋_GB2312"/>
                <w:sz w:val="18"/>
                <w:szCs w:val="18"/>
              </w:rPr>
              <w:t>2</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eastAsia="仿宋_GB2312"/>
                <w:sz w:val="18"/>
                <w:szCs w:val="18"/>
              </w:rPr>
              <w:t>1</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考试</w:t>
            </w:r>
          </w:p>
        </w:tc>
        <w:tc>
          <w:tcPr>
            <w:tcW w:w="1000" w:type="dxa"/>
            <w:vMerge w:val="restart"/>
            <w:tcBorders>
              <w:top w:val="single" w:color="auto" w:sz="4" w:space="0"/>
              <w:left w:val="single" w:color="auto" w:sz="4" w:space="0"/>
              <w:right w:val="single" w:color="auto" w:sz="4" w:space="0"/>
            </w:tcBorders>
            <w:vAlign w:val="center"/>
          </w:tcPr>
          <w:p>
            <w:pPr>
              <w:spacing w:line="219" w:lineRule="exact"/>
              <w:ind w:left="100"/>
              <w:jc w:val="center"/>
              <w:rPr>
                <w:rFonts w:ascii="宋体" w:hAnsi="宋体" w:eastAsia="宋体" w:cs="宋体"/>
                <w:w w:val="99"/>
                <w:sz w:val="18"/>
                <w:szCs w:val="18"/>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12"/>
                <w:szCs w:val="12"/>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312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p>
        </w:tc>
        <w:tc>
          <w:tcPr>
            <w:tcW w:w="1000" w:type="dxa"/>
            <w:vMerge w:val="continue"/>
            <w:tcBorders>
              <w:top w:val="single" w:color="auto" w:sz="4" w:space="0"/>
              <w:left w:val="single" w:color="auto" w:sz="4" w:space="0"/>
              <w:right w:val="single" w:color="auto" w:sz="4" w:space="0"/>
            </w:tcBorders>
            <w:vAlign w:val="center"/>
          </w:tcPr>
          <w:p>
            <w:pPr>
              <w:ind w:firstLine="360" w:firstLineChars="200"/>
              <w:rPr>
                <w:rFonts w:eastAsia="仿宋_GB2312"/>
                <w:sz w:val="18"/>
                <w:szCs w:val="18"/>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312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1000" w:type="dxa"/>
            <w:vMerge w:val="continue"/>
            <w:tcBorders>
              <w:left w:val="single" w:color="auto" w:sz="4" w:space="0"/>
              <w:right w:val="single" w:color="auto" w:sz="4" w:space="0"/>
            </w:tcBorders>
            <w:vAlign w:val="center"/>
          </w:tcPr>
          <w:p>
            <w:pPr>
              <w:spacing w:line="219" w:lineRule="exact"/>
              <w:ind w:left="100"/>
              <w:jc w:val="center"/>
              <w:rPr>
                <w:sz w:val="17"/>
                <w:szCs w:val="17"/>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100010201</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英语（阅读与写作）</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24</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1.5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eastAsia="仿宋_GB2312"/>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2"/>
                <w:sz w:val="18"/>
                <w:szCs w:val="18"/>
              </w:rPr>
            </w:pPr>
            <w:r>
              <w:rPr>
                <w:rFonts w:hint="eastAsia" w:eastAsia="仿宋_GB2312"/>
                <w:sz w:val="18"/>
                <w:szCs w:val="18"/>
              </w:rPr>
              <w:t>考试</w:t>
            </w:r>
          </w:p>
        </w:tc>
        <w:tc>
          <w:tcPr>
            <w:tcW w:w="1000" w:type="dxa"/>
            <w:vMerge w:val="continue"/>
            <w:tcBorders>
              <w:left w:val="single" w:color="auto" w:sz="4" w:space="0"/>
              <w:bottom w:val="single" w:color="auto" w:sz="4" w:space="0"/>
              <w:right w:val="single" w:color="auto" w:sz="4" w:space="0"/>
            </w:tcBorders>
            <w:vAlign w:val="center"/>
          </w:tcPr>
          <w:p>
            <w:pPr>
              <w:spacing w:line="219" w:lineRule="exact"/>
              <w:ind w:left="100"/>
              <w:jc w:val="center"/>
              <w:rPr>
                <w:sz w:val="20"/>
                <w:szCs w:val="20"/>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100020103</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bCs/>
                <w:sz w:val="18"/>
              </w:rPr>
              <w:t>中国特色社会主义理论与实践研究</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36</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考试</w:t>
            </w:r>
          </w:p>
        </w:tc>
        <w:tc>
          <w:tcPr>
            <w:tcW w:w="1000" w:type="dxa"/>
            <w:vMerge w:val="restart"/>
            <w:tcBorders>
              <w:top w:val="single" w:color="auto" w:sz="4" w:space="0"/>
              <w:left w:val="single" w:color="auto" w:sz="4" w:space="0"/>
              <w:right w:val="single" w:color="auto" w:sz="4" w:space="0"/>
            </w:tcBorders>
            <w:vAlign w:val="center"/>
          </w:tcPr>
          <w:p>
            <w:pPr>
              <w:spacing w:line="219" w:lineRule="exact"/>
              <w:ind w:left="100"/>
              <w:jc w:val="center"/>
              <w:rPr>
                <w:sz w:val="20"/>
                <w:szCs w:val="20"/>
              </w:rPr>
            </w:pPr>
            <w:r>
              <w:rPr>
                <w:rFonts w:hint="eastAsia"/>
                <w:sz w:val="20"/>
                <w:szCs w:val="20"/>
              </w:rPr>
              <w:t>直读生硕士课程</w:t>
            </w: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100020104</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bCs/>
                <w:sz w:val="18"/>
              </w:rPr>
              <w:t>自然辩证法概论</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18</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考试</w:t>
            </w:r>
          </w:p>
        </w:tc>
        <w:tc>
          <w:tcPr>
            <w:tcW w:w="1000" w:type="dxa"/>
            <w:vMerge w:val="continue"/>
            <w:tcBorders>
              <w:left w:val="single" w:color="auto" w:sz="4" w:space="0"/>
              <w:right w:val="single" w:color="auto" w:sz="4" w:space="0"/>
            </w:tcBorders>
            <w:vAlign w:val="center"/>
          </w:tcPr>
          <w:p>
            <w:pPr>
              <w:spacing w:line="219" w:lineRule="exact"/>
              <w:rPr>
                <w:sz w:val="20"/>
                <w:szCs w:val="20"/>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100010301</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bCs/>
                <w:sz w:val="18"/>
              </w:rPr>
              <w:t>数值分析</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4</w:t>
            </w:r>
            <w:r>
              <w:rPr>
                <w:rFonts w:eastAsia="仿宋_GB2312"/>
                <w:sz w:val="18"/>
                <w:szCs w:val="18"/>
              </w:rPr>
              <w:t>8</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eastAsia="仿宋_GB2312"/>
                <w:sz w:val="18"/>
                <w:szCs w:val="18"/>
              </w:rPr>
              <w:t>考试</w:t>
            </w:r>
          </w:p>
        </w:tc>
        <w:tc>
          <w:tcPr>
            <w:tcW w:w="1000" w:type="dxa"/>
            <w:vMerge w:val="continue"/>
            <w:tcBorders>
              <w:left w:val="single" w:color="auto" w:sz="4" w:space="0"/>
              <w:right w:val="single" w:color="auto" w:sz="4" w:space="0"/>
            </w:tcBorders>
            <w:vAlign w:val="center"/>
          </w:tcPr>
          <w:p>
            <w:pPr>
              <w:spacing w:line="219" w:lineRule="exact"/>
              <w:ind w:left="100"/>
              <w:jc w:val="center"/>
              <w:rPr>
                <w:sz w:val="20"/>
                <w:szCs w:val="20"/>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restart"/>
            <w:tcBorders>
              <w:top w:val="single" w:color="auto" w:sz="4" w:space="0"/>
              <w:left w:val="single" w:color="auto" w:sz="4" w:space="0"/>
              <w:right w:val="single" w:color="auto" w:sz="4" w:space="0"/>
            </w:tcBorders>
            <w:vAlign w:val="bottom"/>
          </w:tcPr>
          <w:p>
            <w:pPr>
              <w:jc w:val="center"/>
              <w:rPr>
                <w:rFonts w:ascii="宋体" w:hAnsi="宋体" w:eastAsia="宋体" w:cs="宋体"/>
                <w:sz w:val="18"/>
                <w:szCs w:val="18"/>
              </w:rPr>
            </w:pPr>
            <w:r>
              <w:rPr>
                <w:rFonts w:ascii="宋体" w:hAnsi="宋体" w:eastAsia="宋体" w:cs="宋体"/>
                <w:sz w:val="18"/>
                <w:szCs w:val="18"/>
              </w:rPr>
              <w:t>学</w:t>
            </w:r>
          </w:p>
          <w:p>
            <w:pPr>
              <w:jc w:val="center"/>
              <w:rPr>
                <w:rFonts w:ascii="宋体" w:hAnsi="宋体" w:eastAsia="宋体" w:cs="宋体"/>
                <w:sz w:val="18"/>
                <w:szCs w:val="18"/>
              </w:rPr>
            </w:pPr>
            <w:r>
              <w:rPr>
                <w:rFonts w:ascii="宋体" w:hAnsi="宋体" w:eastAsia="宋体" w:cs="宋体"/>
                <w:sz w:val="18"/>
                <w:szCs w:val="18"/>
              </w:rPr>
              <w:t>科</w:t>
            </w:r>
          </w:p>
          <w:p>
            <w:pPr>
              <w:jc w:val="center"/>
              <w:rPr>
                <w:rFonts w:ascii="宋体" w:hAnsi="宋体" w:eastAsia="宋体" w:cs="宋体"/>
                <w:sz w:val="18"/>
                <w:szCs w:val="18"/>
              </w:rPr>
            </w:pPr>
            <w:r>
              <w:rPr>
                <w:rFonts w:ascii="宋体" w:hAnsi="宋体" w:eastAsia="宋体" w:cs="宋体"/>
                <w:sz w:val="18"/>
                <w:szCs w:val="18"/>
              </w:rPr>
              <w:t>基</w:t>
            </w:r>
          </w:p>
          <w:p>
            <w:pPr>
              <w:jc w:val="center"/>
              <w:rPr>
                <w:rFonts w:ascii="宋体" w:hAnsi="宋体" w:eastAsia="宋体" w:cs="宋体"/>
                <w:sz w:val="18"/>
                <w:szCs w:val="18"/>
              </w:rPr>
            </w:pPr>
            <w:r>
              <w:rPr>
                <w:rFonts w:ascii="宋体" w:hAnsi="宋体" w:eastAsia="宋体" w:cs="宋体"/>
                <w:sz w:val="18"/>
                <w:szCs w:val="18"/>
              </w:rPr>
              <w:t>础</w:t>
            </w:r>
          </w:p>
          <w:p>
            <w:pPr>
              <w:spacing w:line="206" w:lineRule="exact"/>
              <w:jc w:val="both"/>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eastAsia="宋体"/>
                <w:w w:val="99"/>
                <w:sz w:val="18"/>
                <w:szCs w:val="18"/>
              </w:rPr>
              <w:t>YZJ01</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冶金传输</w:t>
            </w:r>
            <w:r>
              <w:rPr>
                <w:rFonts w:hint="eastAsia" w:ascii="宋体" w:hAnsi="宋体" w:eastAsia="宋体" w:cs="宋体"/>
                <w:w w:val="99"/>
                <w:sz w:val="18"/>
                <w:szCs w:val="18"/>
                <w:lang w:eastAsia="zh-CN"/>
              </w:rPr>
              <w:t>原理</w:t>
            </w:r>
            <w:r>
              <w:rPr>
                <w:rFonts w:ascii="宋体" w:hAnsi="宋体" w:eastAsia="宋体" w:cs="宋体"/>
                <w:w w:val="99"/>
                <w:sz w:val="18"/>
                <w:szCs w:val="18"/>
              </w:rPr>
              <w:t>与反应工程</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w w:val="99"/>
                <w:sz w:val="18"/>
                <w:szCs w:val="18"/>
              </w:rPr>
              <w:t>32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w w:val="88"/>
                <w:sz w:val="18"/>
                <w:szCs w:val="18"/>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考试</w:t>
            </w:r>
          </w:p>
        </w:tc>
        <w:tc>
          <w:tcPr>
            <w:tcW w:w="1000" w:type="dxa"/>
            <w:vMerge w:val="restart"/>
            <w:tcBorders>
              <w:top w:val="single" w:color="auto" w:sz="4" w:space="0"/>
              <w:left w:val="single" w:color="auto" w:sz="4" w:space="0"/>
              <w:right w:val="single" w:color="auto" w:sz="4" w:space="0"/>
            </w:tcBorders>
            <w:vAlign w:val="bottom"/>
          </w:tcPr>
          <w:p>
            <w:pPr>
              <w:jc w:val="center"/>
              <w:rPr>
                <w:rFonts w:eastAsia="仿宋_GB2312"/>
                <w:sz w:val="18"/>
                <w:szCs w:val="18"/>
              </w:rPr>
            </w:pPr>
            <w:r>
              <w:rPr>
                <w:rFonts w:hint="eastAsia" w:eastAsia="仿宋_GB2312"/>
                <w:sz w:val="18"/>
                <w:szCs w:val="18"/>
              </w:rPr>
              <w:t>至少选</w:t>
            </w:r>
          </w:p>
          <w:p>
            <w:pPr>
              <w:jc w:val="center"/>
              <w:rPr>
                <w:rFonts w:eastAsia="仿宋_GB2312"/>
                <w:sz w:val="18"/>
                <w:szCs w:val="18"/>
              </w:rPr>
            </w:pPr>
            <w:r>
              <w:rPr>
                <w:rFonts w:hint="eastAsia" w:eastAsia="仿宋_GB2312"/>
                <w:sz w:val="18"/>
                <w:szCs w:val="18"/>
              </w:rPr>
              <w:t>修2门</w:t>
            </w:r>
          </w:p>
          <w:p>
            <w:pPr>
              <w:spacing w:line="206" w:lineRule="exact"/>
              <w:jc w:val="center"/>
              <w:rPr>
                <w:sz w:val="20"/>
                <w:szCs w:val="20"/>
              </w:rPr>
            </w:pPr>
            <w:r>
              <w:rPr>
                <w:rFonts w:hint="eastAsia" w:eastAsia="仿宋_GB2312"/>
                <w:sz w:val="18"/>
                <w:szCs w:val="18"/>
              </w:rPr>
              <w:t>共4学分</w:t>
            </w: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0" w:hRule="atLeast"/>
        </w:trPr>
        <w:tc>
          <w:tcPr>
            <w:tcW w:w="440" w:type="dxa"/>
            <w:vMerge w:val="continue"/>
            <w:tcBorders>
              <w:left w:val="single" w:color="auto" w:sz="4" w:space="0"/>
              <w:right w:val="single" w:color="auto" w:sz="4" w:space="0"/>
            </w:tcBorders>
            <w:vAlign w:val="bottom"/>
          </w:tcPr>
          <w:p>
            <w:pPr>
              <w:spacing w:line="206" w:lineRule="exact"/>
              <w:ind w:left="120"/>
              <w:jc w:val="both"/>
              <w:rPr>
                <w:rFonts w:ascii="宋体" w:hAnsi="宋体" w:eastAsia="宋体" w:cs="宋体"/>
                <w:sz w:val="18"/>
                <w:szCs w:val="18"/>
              </w:rPr>
            </w:pPr>
          </w:p>
        </w:tc>
        <w:tc>
          <w:tcPr>
            <w:tcW w:w="1040" w:type="dxa"/>
            <w:tcBorders>
              <w:top w:val="single" w:color="auto" w:sz="4" w:space="0"/>
              <w:left w:val="single" w:color="auto" w:sz="4" w:space="0"/>
              <w:right w:val="single" w:color="auto" w:sz="4" w:space="0"/>
            </w:tcBorders>
            <w:vAlign w:val="center"/>
          </w:tcPr>
          <w:p>
            <w:pPr>
              <w:jc w:val="center"/>
              <w:rPr>
                <w:sz w:val="20"/>
                <w:szCs w:val="20"/>
              </w:rPr>
            </w:pPr>
            <w:r>
              <w:rPr>
                <w:rFonts w:eastAsia="Times New Roman"/>
                <w:w w:val="97"/>
                <w:sz w:val="18"/>
                <w:szCs w:val="18"/>
              </w:rPr>
              <w:t>YZJ02</w:t>
            </w:r>
          </w:p>
        </w:tc>
        <w:tc>
          <w:tcPr>
            <w:tcW w:w="3120" w:type="dxa"/>
            <w:gridSpan w:val="2"/>
            <w:tcBorders>
              <w:top w:val="single" w:color="auto" w:sz="4" w:space="0"/>
              <w:left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冶金物理化学</w:t>
            </w:r>
            <w:bookmarkStart w:id="9" w:name="_GoBack"/>
            <w:bookmarkEnd w:id="9"/>
          </w:p>
        </w:tc>
        <w:tc>
          <w:tcPr>
            <w:tcW w:w="600" w:type="dxa"/>
            <w:tcBorders>
              <w:top w:val="single" w:color="auto" w:sz="4" w:space="0"/>
              <w:left w:val="single" w:color="auto" w:sz="4" w:space="0"/>
              <w:right w:val="single" w:color="auto" w:sz="4" w:space="0"/>
            </w:tcBorders>
            <w:vAlign w:val="center"/>
          </w:tcPr>
          <w:p>
            <w:pPr>
              <w:ind w:right="130"/>
              <w:jc w:val="center"/>
              <w:rPr>
                <w:sz w:val="20"/>
                <w:szCs w:val="20"/>
              </w:rPr>
            </w:pPr>
            <w:r>
              <w:rPr>
                <w:rFonts w:hint="eastAsia" w:eastAsia="宋体"/>
                <w:sz w:val="18"/>
                <w:szCs w:val="18"/>
              </w:rPr>
              <w:t xml:space="preserve">  </w:t>
            </w:r>
            <w:r>
              <w:rPr>
                <w:rFonts w:eastAsia="Times New Roman"/>
                <w:sz w:val="18"/>
                <w:szCs w:val="18"/>
              </w:rPr>
              <w:t>32</w:t>
            </w:r>
          </w:p>
        </w:tc>
        <w:tc>
          <w:tcPr>
            <w:tcW w:w="620" w:type="dxa"/>
            <w:tcBorders>
              <w:top w:val="single" w:color="auto" w:sz="4" w:space="0"/>
              <w:left w:val="single" w:color="auto" w:sz="4" w:space="0"/>
              <w:right w:val="single" w:color="auto" w:sz="4" w:space="0"/>
            </w:tcBorders>
            <w:vAlign w:val="center"/>
          </w:tcPr>
          <w:p>
            <w:pPr>
              <w:ind w:right="190"/>
              <w:jc w:val="center"/>
              <w:rPr>
                <w:sz w:val="20"/>
                <w:szCs w:val="20"/>
              </w:rPr>
            </w:pPr>
            <w:r>
              <w:rPr>
                <w:rFonts w:hint="eastAsia" w:eastAsia="宋体"/>
                <w:sz w:val="18"/>
                <w:szCs w:val="18"/>
              </w:rPr>
              <w:t xml:space="preserve">   </w:t>
            </w:r>
            <w:r>
              <w:rPr>
                <w:rFonts w:eastAsia="Times New Roman"/>
                <w:sz w:val="18"/>
                <w:szCs w:val="18"/>
              </w:rPr>
              <w:t>2</w:t>
            </w:r>
          </w:p>
        </w:tc>
        <w:tc>
          <w:tcPr>
            <w:tcW w:w="600" w:type="dxa"/>
            <w:tcBorders>
              <w:top w:val="single" w:color="auto" w:sz="4" w:space="0"/>
              <w:left w:val="single" w:color="auto" w:sz="4" w:space="0"/>
              <w:right w:val="single" w:color="auto" w:sz="4" w:space="0"/>
            </w:tcBorders>
            <w:vAlign w:val="center"/>
          </w:tcPr>
          <w:p>
            <w:pPr>
              <w:ind w:right="170"/>
              <w:jc w:val="center"/>
              <w:rPr>
                <w:sz w:val="20"/>
                <w:szCs w:val="20"/>
              </w:rPr>
            </w:pPr>
            <w:r>
              <w:rPr>
                <w:rFonts w:hint="eastAsia" w:eastAsia="宋体"/>
                <w:sz w:val="18"/>
                <w:szCs w:val="18"/>
              </w:rPr>
              <w:t xml:space="preserve">   </w:t>
            </w:r>
            <w:r>
              <w:rPr>
                <w:rFonts w:eastAsia="Times New Roman"/>
                <w:sz w:val="18"/>
                <w:szCs w:val="18"/>
              </w:rPr>
              <w:t>1</w:t>
            </w:r>
          </w:p>
        </w:tc>
        <w:tc>
          <w:tcPr>
            <w:tcW w:w="1060" w:type="dxa"/>
            <w:tcBorders>
              <w:top w:val="single" w:color="auto" w:sz="4" w:space="0"/>
              <w:left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continue"/>
            <w:tcBorders>
              <w:left w:val="single" w:color="auto" w:sz="4" w:space="0"/>
              <w:right w:val="single" w:color="auto" w:sz="4" w:space="0"/>
            </w:tcBorders>
            <w:vAlign w:val="bottom"/>
          </w:tcPr>
          <w:p>
            <w:pPr>
              <w:spacing w:line="206" w:lineRule="exact"/>
              <w:jc w:val="center"/>
              <w:rPr>
                <w:sz w:val="20"/>
                <w:szCs w:val="20"/>
              </w:rPr>
            </w:pPr>
          </w:p>
        </w:tc>
        <w:tc>
          <w:tcPr>
            <w:tcW w:w="30" w:type="dxa"/>
            <w:tcBorders>
              <w:left w:val="single" w:color="auto" w:sz="4" w:space="0"/>
            </w:tcBorders>
            <w:vAlign w:val="bottom"/>
          </w:tcPr>
          <w:p>
            <w:pPr>
              <w:rPr>
                <w:sz w:val="1"/>
                <w:szCs w:val="1"/>
              </w:rPr>
            </w:pPr>
          </w:p>
        </w:tc>
      </w:tr>
    </w:tbl>
    <w:p>
      <w:pPr>
        <w:spacing w:line="1" w:lineRule="exact"/>
        <w:rPr>
          <w:sz w:val="20"/>
          <w:szCs w:val="20"/>
        </w:rPr>
      </w:pPr>
      <w:bookmarkStart w:id="4" w:name="page3"/>
      <w:bookmarkEnd w:id="4"/>
    </w:p>
    <w:tbl>
      <w:tblPr>
        <w:tblStyle w:val="8"/>
        <w:tblW w:w="8510" w:type="dxa"/>
        <w:tblInd w:w="370" w:type="dxa"/>
        <w:tblLayout w:type="fixed"/>
        <w:tblCellMar>
          <w:top w:w="0" w:type="dxa"/>
          <w:left w:w="0" w:type="dxa"/>
          <w:bottom w:w="0" w:type="dxa"/>
          <w:right w:w="0" w:type="dxa"/>
        </w:tblCellMar>
      </w:tblPr>
      <w:tblGrid>
        <w:gridCol w:w="440"/>
        <w:gridCol w:w="1040"/>
        <w:gridCol w:w="3120"/>
        <w:gridCol w:w="600"/>
        <w:gridCol w:w="620"/>
        <w:gridCol w:w="600"/>
        <w:gridCol w:w="1060"/>
        <w:gridCol w:w="1000"/>
        <w:gridCol w:w="30"/>
      </w:tblGrid>
      <w:tr>
        <w:trPr>
          <w:trHeight w:val="145" w:hRule="atLeast"/>
        </w:trPr>
        <w:tc>
          <w:tcPr>
            <w:tcW w:w="440" w:type="dxa"/>
            <w:vMerge w:val="restart"/>
            <w:tcBorders>
              <w:left w:val="single" w:color="auto" w:sz="4" w:space="0"/>
              <w:right w:val="single" w:color="auto" w:sz="4" w:space="0"/>
            </w:tcBorders>
          </w:tcPr>
          <w:p>
            <w:pPr>
              <w:jc w:val="center"/>
              <w:rPr>
                <w:rFonts w:ascii="宋体" w:hAnsi="宋体" w:eastAsia="宋体" w:cs="宋体"/>
                <w:sz w:val="18"/>
                <w:szCs w:val="18"/>
              </w:rPr>
            </w:pPr>
            <w:r>
              <w:rPr>
                <w:rFonts w:ascii="宋体" w:hAnsi="宋体" w:eastAsia="宋体" w:cs="宋体"/>
                <w:sz w:val="18"/>
                <w:szCs w:val="18"/>
              </w:rPr>
              <w:t>课</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YZJ0</w:t>
            </w:r>
            <w:r>
              <w:rPr>
                <w:rFonts w:hint="eastAsia" w:eastAsia="宋体"/>
                <w:w w:val="97"/>
                <w:sz w:val="18"/>
                <w:szCs w:val="18"/>
              </w:rPr>
              <w:t>4</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材料科学</w:t>
            </w:r>
            <w:r>
              <w:rPr>
                <w:rFonts w:hint="eastAsia" w:ascii="宋体" w:hAnsi="宋体" w:eastAsia="宋体" w:cs="宋体"/>
                <w:w w:val="99"/>
                <w:sz w:val="18"/>
                <w:szCs w:val="18"/>
              </w:rPr>
              <w:t>原理</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32</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2</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restart"/>
            <w:tcBorders>
              <w:left w:val="single" w:color="auto" w:sz="4" w:space="0"/>
              <w:bottom w:val="single" w:color="auto" w:sz="4" w:space="0"/>
              <w:right w:val="single" w:color="auto" w:sz="4" w:space="0"/>
            </w:tcBorders>
          </w:tcPr>
          <w:p>
            <w:pPr>
              <w:jc w:val="center"/>
              <w:rPr>
                <w:sz w:val="12"/>
                <w:szCs w:val="12"/>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231" w:hRule="atLeast"/>
        </w:trPr>
        <w:tc>
          <w:tcPr>
            <w:tcW w:w="440" w:type="dxa"/>
            <w:vMerge w:val="continue"/>
            <w:tcBorders>
              <w:left w:val="single" w:color="auto" w:sz="4" w:space="0"/>
              <w:right w:val="single" w:color="auto" w:sz="4" w:space="0"/>
            </w:tcBorders>
            <w:vAlign w:val="bottom"/>
          </w:tcPr>
          <w:p>
            <w:pPr>
              <w:spacing w:line="206" w:lineRule="exact"/>
              <w:ind w:left="120"/>
              <w:rPr>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1000" w:type="dxa"/>
            <w:vMerge w:val="continue"/>
            <w:tcBorders>
              <w:left w:val="single" w:color="auto" w:sz="4" w:space="0"/>
              <w:bottom w:val="single" w:color="auto" w:sz="4" w:space="0"/>
              <w:right w:val="single" w:color="auto" w:sz="4" w:space="0"/>
            </w:tcBorders>
            <w:vAlign w:val="center"/>
          </w:tcPr>
          <w:p>
            <w:pPr>
              <w:rPr>
                <w:sz w:val="8"/>
                <w:szCs w:val="8"/>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445" w:hRule="atLeast"/>
        </w:trPr>
        <w:tc>
          <w:tcPr>
            <w:tcW w:w="440" w:type="dxa"/>
            <w:vMerge w:val="continue"/>
            <w:tcBorders>
              <w:left w:val="single" w:color="auto" w:sz="4" w:space="0"/>
              <w:bottom w:val="single" w:color="auto" w:sz="4" w:space="0"/>
              <w:right w:val="single" w:color="auto" w:sz="4" w:space="0"/>
            </w:tcBorders>
            <w:vAlign w:val="bottom"/>
          </w:tcPr>
          <w:p>
            <w:pPr>
              <w:spacing w:line="206" w:lineRule="exact"/>
              <w:ind w:left="120"/>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CZJ04</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英语听说（听力与口语）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24</w:t>
            </w:r>
          </w:p>
        </w:tc>
        <w:tc>
          <w:tcPr>
            <w:tcW w:w="6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1.5</w:t>
            </w:r>
          </w:p>
        </w:tc>
        <w:tc>
          <w:tcPr>
            <w:tcW w:w="60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ascii="宋体" w:hAnsi="宋体" w:eastAsia="宋体" w:cs="宋体"/>
                <w:w w:val="99"/>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考试</w:t>
            </w:r>
          </w:p>
        </w:tc>
        <w:tc>
          <w:tcPr>
            <w:tcW w:w="1000" w:type="dxa"/>
            <w:tcBorders>
              <w:left w:val="single" w:color="auto" w:sz="4" w:space="0"/>
              <w:bottom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hint="eastAsia" w:ascii="宋体" w:hAnsi="宋体" w:eastAsia="宋体" w:cs="宋体"/>
                <w:w w:val="99"/>
                <w:sz w:val="18"/>
                <w:szCs w:val="18"/>
              </w:rPr>
              <w:t>必修</w:t>
            </w: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411" w:hRule="atLeast"/>
        </w:trPr>
        <w:tc>
          <w:tcPr>
            <w:tcW w:w="440" w:type="dxa"/>
            <w:vMerge w:val="restart"/>
            <w:tcBorders>
              <w:top w:val="single" w:color="auto" w:sz="4" w:space="0"/>
              <w:left w:val="single" w:color="auto" w:sz="4" w:space="0"/>
              <w:right w:val="single" w:color="auto" w:sz="4" w:space="0"/>
            </w:tcBorders>
            <w:vAlign w:val="center"/>
          </w:tcPr>
          <w:p>
            <w:pPr>
              <w:spacing w:line="206" w:lineRule="exact"/>
              <w:ind w:left="120"/>
              <w:jc w:val="both"/>
              <w:rPr>
                <w:rFonts w:ascii="宋体" w:hAnsi="宋体" w:eastAsia="宋体" w:cs="宋体"/>
                <w:sz w:val="18"/>
                <w:szCs w:val="18"/>
              </w:rPr>
            </w:pPr>
            <w:r>
              <w:rPr>
                <w:rFonts w:ascii="宋体" w:hAnsi="宋体" w:eastAsia="宋体" w:cs="宋体"/>
                <w:sz w:val="18"/>
                <w:szCs w:val="18"/>
              </w:rPr>
              <w:t>学</w:t>
            </w:r>
          </w:p>
          <w:p>
            <w:pPr>
              <w:spacing w:line="206" w:lineRule="exact"/>
              <w:ind w:left="120"/>
              <w:jc w:val="both"/>
              <w:rPr>
                <w:rFonts w:ascii="宋体" w:hAnsi="宋体" w:eastAsia="宋体" w:cs="宋体"/>
                <w:sz w:val="18"/>
                <w:szCs w:val="18"/>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科</w:t>
            </w:r>
          </w:p>
          <w:p>
            <w:pPr>
              <w:spacing w:line="206" w:lineRule="exact"/>
              <w:ind w:left="120"/>
              <w:jc w:val="both"/>
              <w:rPr>
                <w:rFonts w:ascii="宋体" w:hAnsi="宋体" w:eastAsia="宋体" w:cs="宋体"/>
                <w:sz w:val="18"/>
                <w:szCs w:val="18"/>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专</w:t>
            </w:r>
          </w:p>
          <w:p>
            <w:pPr>
              <w:spacing w:line="206" w:lineRule="exact"/>
              <w:ind w:left="120"/>
              <w:jc w:val="both"/>
              <w:rPr>
                <w:rFonts w:ascii="宋体" w:hAnsi="宋体" w:eastAsia="宋体" w:cs="宋体"/>
                <w:sz w:val="18"/>
                <w:szCs w:val="18"/>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业</w:t>
            </w:r>
          </w:p>
          <w:p>
            <w:pPr>
              <w:spacing w:line="206" w:lineRule="exact"/>
              <w:ind w:left="120"/>
              <w:jc w:val="both"/>
              <w:rPr>
                <w:rFonts w:ascii="宋体" w:hAnsi="宋体" w:eastAsia="宋体" w:cs="宋体"/>
                <w:sz w:val="18"/>
                <w:szCs w:val="18"/>
              </w:rPr>
            </w:pPr>
          </w:p>
          <w:p>
            <w:pPr>
              <w:spacing w:line="206" w:lineRule="exact"/>
              <w:ind w:left="120"/>
              <w:jc w:val="both"/>
              <w:rPr>
                <w:sz w:val="24"/>
                <w:szCs w:val="24"/>
              </w:rPr>
            </w:pPr>
            <w:r>
              <w:rPr>
                <w:rFonts w:ascii="宋体" w:hAnsi="宋体" w:eastAsia="宋体" w:cs="宋体"/>
                <w:sz w:val="18"/>
                <w:szCs w:val="18"/>
              </w:rPr>
              <w:t>课</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YZX</w:t>
            </w:r>
            <w:r>
              <w:rPr>
                <w:rFonts w:hint="eastAsia" w:eastAsia="宋体"/>
                <w:w w:val="97"/>
                <w:sz w:val="18"/>
                <w:szCs w:val="18"/>
              </w:rPr>
              <w:t>20</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外场技术在冶金过程中的应用</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restart"/>
            <w:tcBorders>
              <w:top w:val="single" w:color="auto" w:sz="4" w:space="0"/>
              <w:left w:val="single" w:color="auto" w:sz="4" w:space="0"/>
              <w:right w:val="single" w:color="auto" w:sz="4" w:space="0"/>
            </w:tcBorders>
            <w:vAlign w:val="center"/>
          </w:tcPr>
          <w:p>
            <w:pPr>
              <w:spacing w:line="206" w:lineRule="exact"/>
              <w:jc w:val="center"/>
              <w:rPr>
                <w:rFonts w:ascii="宋体" w:hAnsi="宋体" w:eastAsia="宋体" w:cs="宋体"/>
                <w:w w:val="99"/>
                <w:sz w:val="18"/>
                <w:szCs w:val="18"/>
              </w:rPr>
            </w:pPr>
            <w:r>
              <w:rPr>
                <w:rFonts w:ascii="宋体" w:hAnsi="宋体" w:eastAsia="宋体" w:cs="宋体"/>
                <w:w w:val="99"/>
                <w:sz w:val="18"/>
                <w:szCs w:val="18"/>
              </w:rPr>
              <w:t>至少选修</w:t>
            </w:r>
          </w:p>
          <w:p>
            <w:pPr>
              <w:spacing w:line="206" w:lineRule="exact"/>
              <w:jc w:val="center"/>
              <w:rPr>
                <w:sz w:val="20"/>
                <w:szCs w:val="20"/>
              </w:rPr>
            </w:pPr>
          </w:p>
          <w:p>
            <w:pPr>
              <w:spacing w:line="219" w:lineRule="exact"/>
              <w:jc w:val="center"/>
              <w:rPr>
                <w:rFonts w:ascii="宋体" w:hAnsi="宋体" w:eastAsia="宋体" w:cs="宋体"/>
                <w:sz w:val="18"/>
                <w:szCs w:val="18"/>
              </w:rPr>
            </w:pPr>
            <w:r>
              <w:rPr>
                <w:rFonts w:eastAsia="Times New Roman"/>
                <w:sz w:val="18"/>
                <w:szCs w:val="18"/>
              </w:rPr>
              <w:t xml:space="preserve">2 </w:t>
            </w:r>
            <w:r>
              <w:rPr>
                <w:rFonts w:ascii="宋体" w:hAnsi="宋体" w:eastAsia="宋体" w:cs="宋体"/>
                <w:sz w:val="18"/>
                <w:szCs w:val="18"/>
              </w:rPr>
              <w:t>门</w:t>
            </w:r>
          </w:p>
          <w:p>
            <w:pPr>
              <w:spacing w:line="219" w:lineRule="exact"/>
              <w:jc w:val="center"/>
              <w:rPr>
                <w:rFonts w:ascii="宋体" w:hAnsi="宋体" w:eastAsia="宋体" w:cs="宋体"/>
                <w:sz w:val="18"/>
                <w:szCs w:val="18"/>
              </w:rPr>
            </w:pPr>
          </w:p>
          <w:p>
            <w:pPr>
              <w:spacing w:line="219" w:lineRule="exact"/>
              <w:jc w:val="center"/>
              <w:rPr>
                <w:sz w:val="24"/>
                <w:szCs w:val="24"/>
              </w:rPr>
            </w:pPr>
            <w:r>
              <w:rPr>
                <w:rFonts w:ascii="宋体" w:hAnsi="宋体" w:eastAsia="宋体" w:cs="宋体"/>
                <w:w w:val="99"/>
                <w:sz w:val="18"/>
                <w:szCs w:val="18"/>
              </w:rPr>
              <w:t>共</w:t>
            </w:r>
            <w:r>
              <w:rPr>
                <w:rFonts w:eastAsia="Times New Roman"/>
                <w:w w:val="99"/>
                <w:sz w:val="18"/>
                <w:szCs w:val="18"/>
              </w:rPr>
              <w:t xml:space="preserve"> 2 </w:t>
            </w:r>
            <w:r>
              <w:rPr>
                <w:rFonts w:ascii="宋体" w:hAnsi="宋体" w:eastAsia="宋体" w:cs="宋体"/>
                <w:w w:val="99"/>
                <w:sz w:val="18"/>
                <w:szCs w:val="18"/>
              </w:rPr>
              <w:t>学分</w:t>
            </w:r>
          </w:p>
        </w:tc>
        <w:tc>
          <w:tcPr>
            <w:tcW w:w="30" w:type="dxa"/>
            <w:tcBorders>
              <w:left w:val="single" w:color="auto" w:sz="4" w:space="0"/>
            </w:tcBorders>
            <w:vAlign w:val="bottom"/>
          </w:tcPr>
          <w:p>
            <w:pPr>
              <w:rPr>
                <w:sz w:val="1"/>
                <w:szCs w:val="1"/>
              </w:rPr>
            </w:pPr>
          </w:p>
        </w:tc>
      </w:tr>
      <w:tr>
        <w:trPr>
          <w:trHeight w:val="361"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24"/>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YZX</w:t>
            </w:r>
            <w:r>
              <w:rPr>
                <w:rFonts w:hint="eastAsia" w:eastAsia="宋体"/>
                <w:w w:val="97"/>
                <w:sz w:val="18"/>
                <w:szCs w:val="18"/>
              </w:rPr>
              <w:t>21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电化学器件理论与</w:t>
            </w:r>
            <w:r>
              <w:rPr>
                <w:rFonts w:hint="eastAsia" w:ascii="宋体" w:hAnsi="宋体" w:eastAsia="宋体" w:cs="宋体"/>
                <w:w w:val="99"/>
                <w:sz w:val="18"/>
                <w:szCs w:val="18"/>
              </w:rPr>
              <w:t>应用</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continue"/>
            <w:tcBorders>
              <w:left w:val="single" w:color="auto" w:sz="4" w:space="0"/>
              <w:right w:val="single" w:color="auto" w:sz="4" w:space="0"/>
            </w:tcBorders>
            <w:vAlign w:val="center"/>
          </w:tcPr>
          <w:p>
            <w:pPr>
              <w:spacing w:line="219" w:lineRule="exact"/>
              <w:jc w:val="center"/>
              <w:rPr>
                <w:sz w:val="24"/>
                <w:szCs w:val="24"/>
              </w:rPr>
            </w:pPr>
          </w:p>
        </w:tc>
        <w:tc>
          <w:tcPr>
            <w:tcW w:w="30" w:type="dxa"/>
            <w:tcBorders>
              <w:left w:val="single" w:color="auto" w:sz="4" w:space="0"/>
            </w:tcBorders>
            <w:vAlign w:val="bottom"/>
          </w:tcPr>
          <w:p>
            <w:pPr>
              <w:rPr>
                <w:sz w:val="1"/>
                <w:szCs w:val="1"/>
              </w:rPr>
            </w:pPr>
          </w:p>
        </w:tc>
      </w:tr>
      <w:tr>
        <w:trPr>
          <w:trHeight w:val="146"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12"/>
                <w:szCs w:val="12"/>
              </w:rPr>
            </w:pP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YZX</w:t>
            </w:r>
            <w:r>
              <w:rPr>
                <w:rFonts w:hint="eastAsia" w:eastAsia="宋体"/>
                <w:w w:val="97"/>
                <w:sz w:val="18"/>
                <w:szCs w:val="18"/>
              </w:rPr>
              <w:t>22</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炼铁原料高效制备理论与</w:t>
            </w:r>
            <w:r>
              <w:rPr>
                <w:rFonts w:hint="eastAsia" w:ascii="宋体" w:hAnsi="宋体" w:eastAsia="宋体" w:cs="宋体"/>
                <w:w w:val="99"/>
                <w:sz w:val="18"/>
                <w:szCs w:val="18"/>
              </w:rPr>
              <w:t>应用</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continue"/>
            <w:tcBorders>
              <w:left w:val="single" w:color="auto" w:sz="4" w:space="0"/>
              <w:right w:val="single" w:color="auto" w:sz="4" w:space="0"/>
            </w:tcBorders>
            <w:vAlign w:val="center"/>
          </w:tcPr>
          <w:p>
            <w:pPr>
              <w:spacing w:line="219" w:lineRule="exact"/>
              <w:jc w:val="center"/>
              <w:rPr>
                <w:sz w:val="20"/>
                <w:szCs w:val="20"/>
              </w:rPr>
            </w:pPr>
          </w:p>
        </w:tc>
        <w:tc>
          <w:tcPr>
            <w:tcW w:w="30" w:type="dxa"/>
            <w:tcBorders>
              <w:left w:val="single" w:color="auto" w:sz="4" w:space="0"/>
            </w:tcBorders>
            <w:vAlign w:val="bottom"/>
          </w:tcPr>
          <w:p>
            <w:pPr>
              <w:rPr>
                <w:sz w:val="1"/>
                <w:szCs w:val="1"/>
              </w:rPr>
            </w:pPr>
          </w:p>
        </w:tc>
      </w:tr>
      <w:tr>
        <w:trPr>
          <w:trHeight w:val="196"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7"/>
                <w:szCs w:val="17"/>
              </w:rPr>
            </w:pPr>
          </w:p>
        </w:tc>
        <w:tc>
          <w:tcPr>
            <w:tcW w:w="1000" w:type="dxa"/>
            <w:vMerge w:val="continue"/>
            <w:tcBorders>
              <w:left w:val="single" w:color="auto" w:sz="4" w:space="0"/>
              <w:right w:val="single" w:color="auto" w:sz="4" w:space="0"/>
            </w:tcBorders>
            <w:vAlign w:val="center"/>
          </w:tcPr>
          <w:p>
            <w:pPr>
              <w:spacing w:line="219" w:lineRule="exact"/>
              <w:jc w:val="center"/>
              <w:rPr>
                <w:sz w:val="17"/>
                <w:szCs w:val="17"/>
              </w:rPr>
            </w:pPr>
          </w:p>
        </w:tc>
        <w:tc>
          <w:tcPr>
            <w:tcW w:w="30" w:type="dxa"/>
            <w:tcBorders>
              <w:left w:val="single" w:color="auto" w:sz="4" w:space="0"/>
            </w:tcBorders>
            <w:vAlign w:val="bottom"/>
          </w:tcPr>
          <w:p>
            <w:pPr>
              <w:rPr>
                <w:sz w:val="1"/>
                <w:szCs w:val="1"/>
              </w:rPr>
            </w:pPr>
          </w:p>
        </w:tc>
      </w:tr>
      <w:tr>
        <w:trPr>
          <w:trHeight w:val="395"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YZX</w:t>
            </w:r>
            <w:r>
              <w:rPr>
                <w:rFonts w:hint="eastAsia" w:eastAsia="宋体"/>
                <w:w w:val="97"/>
                <w:sz w:val="18"/>
                <w:szCs w:val="18"/>
              </w:rPr>
              <w:t>23</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新型稀土材料制备理论与</w:t>
            </w:r>
            <w:r>
              <w:rPr>
                <w:rFonts w:hint="eastAsia" w:ascii="宋体" w:hAnsi="宋体" w:eastAsia="宋体" w:cs="宋体"/>
                <w:w w:val="99"/>
                <w:sz w:val="18"/>
                <w:szCs w:val="18"/>
              </w:rPr>
              <w:t>应用</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continue"/>
            <w:tcBorders>
              <w:left w:val="single" w:color="auto" w:sz="4" w:space="0"/>
              <w:right w:val="single" w:color="auto" w:sz="4" w:space="0"/>
            </w:tcBorders>
            <w:vAlign w:val="center"/>
          </w:tcPr>
          <w:p>
            <w:pPr>
              <w:spacing w:line="219" w:lineRule="exact"/>
              <w:jc w:val="center"/>
              <w:rPr>
                <w:sz w:val="20"/>
                <w:szCs w:val="20"/>
              </w:rPr>
            </w:pPr>
          </w:p>
        </w:tc>
        <w:tc>
          <w:tcPr>
            <w:tcW w:w="30" w:type="dxa"/>
            <w:tcBorders>
              <w:left w:val="single" w:color="auto" w:sz="4" w:space="0"/>
            </w:tcBorders>
            <w:vAlign w:val="bottom"/>
          </w:tcPr>
          <w:p>
            <w:pPr>
              <w:rPr>
                <w:sz w:val="1"/>
                <w:szCs w:val="1"/>
              </w:rPr>
            </w:pPr>
          </w:p>
        </w:tc>
      </w:tr>
      <w:tr>
        <w:trPr>
          <w:trHeight w:val="241" w:hRule="atLeast"/>
        </w:trPr>
        <w:tc>
          <w:tcPr>
            <w:tcW w:w="440" w:type="dxa"/>
            <w:vMerge w:val="continue"/>
            <w:tcBorders>
              <w:left w:val="single" w:color="auto" w:sz="4" w:space="0"/>
              <w:right w:val="single" w:color="auto" w:sz="4" w:space="0"/>
            </w:tcBorders>
            <w:vAlign w:val="center"/>
          </w:tcPr>
          <w:p>
            <w:pPr>
              <w:jc w:val="center"/>
              <w:rPr>
                <w:sz w:val="20"/>
                <w:szCs w:val="20"/>
              </w:rPr>
            </w:pP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sz w:val="20"/>
                <w:szCs w:val="20"/>
              </w:rPr>
            </w:pPr>
            <w:r>
              <w:rPr>
                <w:rFonts w:eastAsia="Times New Roman"/>
                <w:w w:val="97"/>
                <w:sz w:val="18"/>
                <w:szCs w:val="18"/>
              </w:rPr>
              <w:t>YZX</w:t>
            </w:r>
            <w:r>
              <w:rPr>
                <w:rFonts w:hint="eastAsia" w:eastAsia="宋体"/>
                <w:w w:val="97"/>
                <w:sz w:val="18"/>
                <w:szCs w:val="18"/>
              </w:rPr>
              <w:t>24</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稀土绿色冶金理论与</w:t>
            </w:r>
            <w:r>
              <w:rPr>
                <w:rFonts w:hint="eastAsia" w:ascii="宋体" w:hAnsi="宋体" w:eastAsia="宋体" w:cs="宋体"/>
                <w:w w:val="99"/>
                <w:sz w:val="18"/>
                <w:szCs w:val="18"/>
              </w:rPr>
              <w:t>应用</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ind w:left="340"/>
              <w:rPr>
                <w:sz w:val="20"/>
                <w:szCs w:val="20"/>
              </w:rPr>
            </w:pPr>
            <w:r>
              <w:rPr>
                <w:rFonts w:ascii="宋体" w:hAnsi="宋体" w:eastAsia="宋体" w:cs="宋体"/>
                <w:sz w:val="18"/>
                <w:szCs w:val="18"/>
              </w:rPr>
              <w:t>考试</w:t>
            </w:r>
          </w:p>
        </w:tc>
        <w:tc>
          <w:tcPr>
            <w:tcW w:w="1000" w:type="dxa"/>
            <w:vMerge w:val="continue"/>
            <w:tcBorders>
              <w:left w:val="single" w:color="auto" w:sz="4" w:space="0"/>
              <w:right w:val="single" w:color="auto" w:sz="4" w:space="0"/>
            </w:tcBorders>
            <w:vAlign w:val="center"/>
          </w:tcPr>
          <w:p>
            <w:pPr>
              <w:jc w:val="center"/>
              <w:rPr>
                <w:sz w:val="20"/>
                <w:szCs w:val="20"/>
              </w:rPr>
            </w:pPr>
          </w:p>
        </w:tc>
        <w:tc>
          <w:tcPr>
            <w:tcW w:w="30" w:type="dxa"/>
            <w:tcBorders>
              <w:left w:val="single" w:color="auto" w:sz="4" w:space="0"/>
            </w:tcBorders>
            <w:vAlign w:val="bottom"/>
          </w:tcPr>
          <w:p>
            <w:pPr>
              <w:rPr>
                <w:sz w:val="1"/>
                <w:szCs w:val="1"/>
              </w:rPr>
            </w:pPr>
          </w:p>
        </w:tc>
      </w:tr>
      <w:tr>
        <w:trPr>
          <w:trHeight w:val="100" w:hRule="atLeast"/>
        </w:trPr>
        <w:tc>
          <w:tcPr>
            <w:tcW w:w="440" w:type="dxa"/>
            <w:vMerge w:val="continue"/>
            <w:tcBorders>
              <w:left w:val="single" w:color="auto" w:sz="4" w:space="0"/>
              <w:right w:val="single" w:color="auto" w:sz="4" w:space="0"/>
            </w:tcBorders>
            <w:vAlign w:val="center"/>
          </w:tcPr>
          <w:p>
            <w:pPr>
              <w:jc w:val="center"/>
              <w:rPr>
                <w:sz w:val="8"/>
                <w:szCs w:val="8"/>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8"/>
                <w:szCs w:val="8"/>
              </w:rPr>
            </w:pPr>
          </w:p>
        </w:tc>
        <w:tc>
          <w:tcPr>
            <w:tcW w:w="1000" w:type="dxa"/>
            <w:vMerge w:val="continue"/>
            <w:tcBorders>
              <w:left w:val="single" w:color="auto" w:sz="4" w:space="0"/>
              <w:right w:val="single" w:color="auto" w:sz="4" w:space="0"/>
            </w:tcBorders>
            <w:vAlign w:val="center"/>
          </w:tcPr>
          <w:p>
            <w:pPr>
              <w:jc w:val="center"/>
              <w:rPr>
                <w:sz w:val="8"/>
                <w:szCs w:val="8"/>
              </w:rPr>
            </w:pPr>
          </w:p>
        </w:tc>
        <w:tc>
          <w:tcPr>
            <w:tcW w:w="30" w:type="dxa"/>
            <w:tcBorders>
              <w:left w:val="single" w:color="auto" w:sz="4" w:space="0"/>
            </w:tcBorders>
            <w:vAlign w:val="bottom"/>
          </w:tcPr>
          <w:p>
            <w:pPr>
              <w:rPr>
                <w:sz w:val="1"/>
                <w:szCs w:val="1"/>
              </w:rPr>
            </w:pPr>
          </w:p>
        </w:tc>
      </w:tr>
      <w:tr>
        <w:trPr>
          <w:trHeight w:val="367" w:hRule="atLeast"/>
        </w:trPr>
        <w:tc>
          <w:tcPr>
            <w:tcW w:w="44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w w:val="97"/>
                <w:sz w:val="18"/>
                <w:szCs w:val="18"/>
                <w:lang w:val="en-US" w:eastAsia="zh-CN"/>
              </w:rPr>
            </w:pPr>
            <w:r>
              <w:rPr>
                <w:rFonts w:eastAsia="Times New Roman"/>
                <w:w w:val="97"/>
                <w:sz w:val="18"/>
                <w:szCs w:val="18"/>
              </w:rPr>
              <w:t>YZX</w:t>
            </w:r>
            <w:r>
              <w:rPr>
                <w:rFonts w:hint="eastAsia" w:eastAsia="宋体"/>
                <w:w w:val="97"/>
                <w:sz w:val="18"/>
                <w:szCs w:val="18"/>
              </w:rPr>
              <w:t>2</w:t>
            </w:r>
            <w:r>
              <w:rPr>
                <w:rFonts w:hint="eastAsia" w:eastAsia="宋体"/>
                <w:w w:val="97"/>
                <w:sz w:val="18"/>
                <w:szCs w:val="18"/>
                <w:lang w:val="en-US" w:eastAsia="zh-CN"/>
              </w:rPr>
              <w:t>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hint="default" w:ascii="宋体" w:hAnsi="宋体" w:eastAsia="宋体" w:cs="宋体"/>
                <w:w w:val="99"/>
                <w:sz w:val="18"/>
                <w:szCs w:val="18"/>
                <w:lang w:val="en-US" w:eastAsia="zh-CN"/>
              </w:rPr>
            </w:pPr>
            <w:r>
              <w:rPr>
                <w:rFonts w:hint="eastAsia" w:ascii="宋体" w:hAnsi="宋体" w:eastAsia="宋体" w:cs="宋体"/>
                <w:w w:val="99"/>
                <w:sz w:val="18"/>
                <w:szCs w:val="18"/>
              </w:rPr>
              <w:t>金属</w:t>
            </w:r>
            <w:r>
              <w:rPr>
                <w:rFonts w:ascii="宋体" w:hAnsi="宋体" w:eastAsia="宋体" w:cs="宋体"/>
                <w:w w:val="99"/>
                <w:sz w:val="18"/>
                <w:szCs w:val="18"/>
              </w:rPr>
              <w:t>材料组织</w:t>
            </w:r>
            <w:r>
              <w:rPr>
                <w:rFonts w:hint="eastAsia" w:ascii="宋体" w:hAnsi="宋体" w:eastAsia="宋体" w:cs="宋体"/>
                <w:w w:val="99"/>
                <w:sz w:val="18"/>
                <w:szCs w:val="18"/>
              </w:rPr>
              <w:t>控制理论</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ind w:left="340" w:leftChars="0"/>
              <w:rPr>
                <w:rFonts w:ascii="Times New Roman" w:hAnsi="Times New Roman" w:cs="Times New Roman" w:eastAsiaTheme="minorEastAsia"/>
                <w:sz w:val="20"/>
                <w:szCs w:val="20"/>
                <w:lang w:val="en-US" w:eastAsia="zh-CN" w:bidi="ar-SA"/>
              </w:rPr>
            </w:pPr>
            <w:r>
              <w:rPr>
                <w:rFonts w:ascii="宋体" w:hAnsi="宋体" w:eastAsia="宋体" w:cs="宋体"/>
                <w:sz w:val="18"/>
                <w:szCs w:val="18"/>
              </w:rPr>
              <w:t>考试</w:t>
            </w:r>
          </w:p>
        </w:tc>
        <w:tc>
          <w:tcPr>
            <w:tcW w:w="100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30" w:type="dxa"/>
            <w:tcBorders>
              <w:left w:val="single" w:color="auto" w:sz="4" w:space="0"/>
            </w:tcBorders>
            <w:vAlign w:val="bottom"/>
          </w:tcPr>
          <w:p>
            <w:pPr>
              <w:rPr>
                <w:sz w:val="1"/>
                <w:szCs w:val="1"/>
              </w:rPr>
            </w:pPr>
          </w:p>
        </w:tc>
      </w:tr>
      <w:tr>
        <w:trPr>
          <w:trHeight w:val="367" w:hRule="atLeast"/>
        </w:trPr>
        <w:tc>
          <w:tcPr>
            <w:tcW w:w="44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w w:val="97"/>
                <w:sz w:val="18"/>
                <w:szCs w:val="18"/>
                <w:lang w:val="en-US" w:eastAsia="zh-CN"/>
              </w:rPr>
            </w:pPr>
            <w:r>
              <w:rPr>
                <w:rFonts w:eastAsia="Times New Roman"/>
                <w:w w:val="97"/>
                <w:sz w:val="18"/>
                <w:szCs w:val="18"/>
              </w:rPr>
              <w:t>YZX</w:t>
            </w:r>
            <w:r>
              <w:rPr>
                <w:rFonts w:hint="eastAsia" w:eastAsia="宋体"/>
                <w:w w:val="97"/>
                <w:sz w:val="18"/>
                <w:szCs w:val="18"/>
              </w:rPr>
              <w:t>2</w:t>
            </w:r>
            <w:r>
              <w:rPr>
                <w:rFonts w:hint="eastAsia" w:eastAsia="宋体"/>
                <w:w w:val="97"/>
                <w:sz w:val="18"/>
                <w:szCs w:val="18"/>
                <w:lang w:val="en-US" w:eastAsia="zh-CN"/>
              </w:rPr>
              <w:t>6</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rFonts w:hint="default" w:ascii="宋体" w:hAnsi="宋体" w:eastAsia="宋体" w:cs="宋体"/>
                <w:w w:val="99"/>
                <w:sz w:val="18"/>
                <w:szCs w:val="18"/>
                <w:lang w:val="en-US" w:eastAsia="zh-CN"/>
              </w:rPr>
            </w:pPr>
            <w:r>
              <w:rPr>
                <w:rFonts w:hint="eastAsia" w:ascii="宋体" w:hAnsi="宋体" w:eastAsia="宋体" w:cs="宋体"/>
                <w:w w:val="99"/>
                <w:sz w:val="18"/>
                <w:szCs w:val="18"/>
                <w:lang w:val="en-US" w:eastAsia="zh-CN"/>
              </w:rPr>
              <w:t>冶金过程人工智能</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rightChars="0"/>
              <w:jc w:val="center"/>
              <w:rPr>
                <w:rFonts w:ascii="Times New Roman" w:hAnsi="Times New Roman" w:cs="Times New Roman" w:eastAsiaTheme="minorEastAsia"/>
                <w:sz w:val="20"/>
                <w:szCs w:val="20"/>
                <w:lang w:val="en-US" w:eastAsia="zh-CN" w:bidi="ar-SA"/>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6" w:lineRule="exact"/>
              <w:ind w:left="340" w:leftChars="0"/>
              <w:rPr>
                <w:rFonts w:ascii="Times New Roman" w:hAnsi="Times New Roman" w:cs="Times New Roman" w:eastAsiaTheme="minorEastAsia"/>
                <w:sz w:val="20"/>
                <w:szCs w:val="20"/>
                <w:lang w:val="en-US" w:eastAsia="zh-CN" w:bidi="ar-SA"/>
              </w:rPr>
            </w:pPr>
            <w:r>
              <w:rPr>
                <w:rFonts w:ascii="宋体" w:hAnsi="宋体" w:eastAsia="宋体" w:cs="宋体"/>
                <w:sz w:val="18"/>
                <w:szCs w:val="18"/>
              </w:rPr>
              <w:t>考试</w:t>
            </w:r>
          </w:p>
        </w:tc>
        <w:tc>
          <w:tcPr>
            <w:tcW w:w="100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30" w:type="dxa"/>
            <w:tcBorders>
              <w:left w:val="single" w:color="auto" w:sz="4" w:space="0"/>
            </w:tcBorders>
            <w:vAlign w:val="bottom"/>
          </w:tcPr>
          <w:p>
            <w:pPr>
              <w:rPr>
                <w:sz w:val="1"/>
                <w:szCs w:val="1"/>
              </w:rPr>
            </w:pPr>
          </w:p>
        </w:tc>
      </w:tr>
      <w:tr>
        <w:trPr>
          <w:trHeight w:val="367" w:hRule="atLeast"/>
        </w:trPr>
        <w:tc>
          <w:tcPr>
            <w:tcW w:w="44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0"/>
                <w:szCs w:val="20"/>
                <w:lang w:val="en-US" w:eastAsia="zh-CN"/>
              </w:rPr>
            </w:pPr>
            <w:r>
              <w:rPr>
                <w:rFonts w:eastAsia="Times New Roman"/>
                <w:w w:val="97"/>
                <w:sz w:val="18"/>
                <w:szCs w:val="18"/>
              </w:rPr>
              <w:t>YZX</w:t>
            </w:r>
            <w:r>
              <w:rPr>
                <w:rFonts w:hint="eastAsia" w:eastAsia="宋体"/>
                <w:w w:val="97"/>
                <w:sz w:val="18"/>
                <w:szCs w:val="18"/>
              </w:rPr>
              <w:t>2</w:t>
            </w:r>
            <w:r>
              <w:rPr>
                <w:rFonts w:hint="eastAsia" w:eastAsia="宋体"/>
                <w:w w:val="97"/>
                <w:sz w:val="18"/>
                <w:szCs w:val="18"/>
                <w:lang w:val="en-US" w:eastAsia="zh-CN"/>
              </w:rPr>
              <w:t>7</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hint="eastAsia" w:ascii="宋体" w:hAnsi="宋体" w:eastAsia="宋体" w:cs="宋体"/>
                <w:w w:val="99"/>
                <w:sz w:val="18"/>
                <w:szCs w:val="18"/>
                <w:lang w:val="en-US" w:eastAsia="zh-CN"/>
              </w:rPr>
              <w:t>绿色冶金技术</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1</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宋体" w:hAnsi="宋体" w:eastAsia="宋体" w:cs="宋体"/>
                <w:sz w:val="18"/>
                <w:szCs w:val="18"/>
              </w:rPr>
              <w:t>考试</w:t>
            </w:r>
          </w:p>
        </w:tc>
        <w:tc>
          <w:tcPr>
            <w:tcW w:w="100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30" w:type="dxa"/>
            <w:tcBorders>
              <w:left w:val="single" w:color="auto" w:sz="4" w:space="0"/>
            </w:tcBorders>
            <w:vAlign w:val="bottom"/>
          </w:tcPr>
          <w:p>
            <w:pPr>
              <w:rPr>
                <w:sz w:val="1"/>
                <w:szCs w:val="1"/>
              </w:rPr>
            </w:pPr>
          </w:p>
        </w:tc>
      </w:tr>
      <w:tr>
        <w:trPr>
          <w:trHeight w:val="560" w:hRule="atLeast"/>
        </w:trPr>
        <w:tc>
          <w:tcPr>
            <w:tcW w:w="440" w:type="dxa"/>
            <w:vMerge w:val="restart"/>
            <w:tcBorders>
              <w:top w:val="single" w:color="auto" w:sz="4" w:space="0"/>
              <w:left w:val="single" w:color="auto" w:sz="4" w:space="0"/>
              <w:right w:val="single" w:color="auto" w:sz="4" w:space="0"/>
            </w:tcBorders>
            <w:vAlign w:val="center"/>
          </w:tcPr>
          <w:p>
            <w:pPr>
              <w:spacing w:line="206" w:lineRule="exact"/>
              <w:ind w:left="120"/>
              <w:jc w:val="both"/>
              <w:rPr>
                <w:rFonts w:ascii="宋体" w:hAnsi="宋体" w:eastAsia="宋体" w:cs="宋体"/>
                <w:sz w:val="18"/>
                <w:szCs w:val="18"/>
              </w:rPr>
            </w:pPr>
            <w:r>
              <w:rPr>
                <w:rFonts w:ascii="宋体" w:hAnsi="宋体" w:eastAsia="宋体" w:cs="宋体"/>
                <w:sz w:val="18"/>
                <w:szCs w:val="18"/>
              </w:rPr>
              <w:t>必</w:t>
            </w:r>
          </w:p>
          <w:p>
            <w:pPr>
              <w:spacing w:line="206" w:lineRule="exact"/>
              <w:ind w:left="120"/>
              <w:jc w:val="both"/>
              <w:rPr>
                <w:rFonts w:ascii="宋体" w:hAnsi="宋体" w:eastAsia="宋体" w:cs="宋体"/>
                <w:sz w:val="18"/>
                <w:szCs w:val="18"/>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修</w:t>
            </w:r>
          </w:p>
          <w:p>
            <w:pPr>
              <w:spacing w:line="206" w:lineRule="exact"/>
              <w:ind w:left="120"/>
              <w:jc w:val="both"/>
              <w:rPr>
                <w:rFonts w:ascii="宋体" w:hAnsi="宋体" w:eastAsia="宋体" w:cs="宋体"/>
                <w:sz w:val="18"/>
                <w:szCs w:val="18"/>
              </w:rPr>
            </w:pPr>
          </w:p>
          <w:p>
            <w:pPr>
              <w:spacing w:line="206" w:lineRule="exact"/>
              <w:ind w:left="120"/>
              <w:jc w:val="both"/>
              <w:rPr>
                <w:rFonts w:ascii="宋体" w:hAnsi="宋体" w:eastAsia="宋体" w:cs="宋体"/>
                <w:sz w:val="18"/>
                <w:szCs w:val="18"/>
              </w:rPr>
            </w:pPr>
            <w:r>
              <w:rPr>
                <w:rFonts w:ascii="宋体" w:hAnsi="宋体" w:eastAsia="宋体" w:cs="宋体"/>
                <w:sz w:val="18"/>
                <w:szCs w:val="18"/>
              </w:rPr>
              <w:t>环</w:t>
            </w:r>
          </w:p>
          <w:p>
            <w:pPr>
              <w:spacing w:line="206" w:lineRule="exact"/>
              <w:ind w:left="120"/>
              <w:jc w:val="both"/>
              <w:rPr>
                <w:rFonts w:ascii="宋体" w:hAnsi="宋体" w:eastAsia="宋体" w:cs="宋体"/>
                <w:sz w:val="18"/>
                <w:szCs w:val="18"/>
              </w:rPr>
            </w:pPr>
          </w:p>
          <w:p>
            <w:pPr>
              <w:spacing w:line="206" w:lineRule="exact"/>
              <w:ind w:left="120"/>
              <w:jc w:val="both"/>
              <w:rPr>
                <w:sz w:val="24"/>
                <w:szCs w:val="24"/>
              </w:rPr>
            </w:pPr>
            <w:r>
              <w:rPr>
                <w:rFonts w:ascii="宋体" w:hAnsi="宋体" w:eastAsia="宋体" w:cs="宋体"/>
                <w:sz w:val="18"/>
                <w:szCs w:val="18"/>
              </w:rPr>
              <w:t>节</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w w:val="99"/>
                <w:sz w:val="18"/>
                <w:szCs w:val="18"/>
              </w:rPr>
              <w:t>YBX01</w:t>
            </w:r>
          </w:p>
        </w:tc>
        <w:tc>
          <w:tcPr>
            <w:tcW w:w="3120" w:type="dxa"/>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选题导论</w:t>
            </w:r>
          </w:p>
        </w:tc>
        <w:tc>
          <w:tcPr>
            <w:tcW w:w="600" w:type="dxa"/>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2</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eastAsia="宋体" w:cs="宋体"/>
                <w:sz w:val="18"/>
                <w:szCs w:val="18"/>
              </w:rPr>
              <w:t>考查</w:t>
            </w:r>
          </w:p>
        </w:tc>
        <w:tc>
          <w:tcPr>
            <w:tcW w:w="1000" w:type="dxa"/>
            <w:vMerge w:val="restart"/>
            <w:tcBorders>
              <w:top w:val="single" w:color="auto" w:sz="4" w:space="0"/>
              <w:left w:val="single" w:color="auto" w:sz="4" w:space="0"/>
              <w:right w:val="single" w:color="auto" w:sz="4" w:space="0"/>
            </w:tcBorders>
            <w:vAlign w:val="center"/>
          </w:tcPr>
          <w:p>
            <w:pPr>
              <w:spacing w:line="219" w:lineRule="exact"/>
              <w:ind w:left="100"/>
              <w:jc w:val="center"/>
              <w:rPr>
                <w:sz w:val="24"/>
                <w:szCs w:val="24"/>
              </w:rPr>
            </w:pPr>
            <w:r>
              <w:rPr>
                <w:rFonts w:hint="eastAsia" w:eastAsia="仿宋_GB2312"/>
                <w:sz w:val="18"/>
                <w:szCs w:val="18"/>
              </w:rPr>
              <w:t>共3学分</w:t>
            </w:r>
          </w:p>
        </w:tc>
        <w:tc>
          <w:tcPr>
            <w:tcW w:w="30" w:type="dxa"/>
            <w:tcBorders>
              <w:left w:val="single" w:color="auto" w:sz="4" w:space="0"/>
            </w:tcBorders>
            <w:vAlign w:val="bottom"/>
          </w:tcPr>
          <w:p>
            <w:pPr>
              <w:rPr>
                <w:sz w:val="1"/>
                <w:szCs w:val="1"/>
              </w:rPr>
            </w:pPr>
          </w:p>
        </w:tc>
      </w:tr>
      <w:tr>
        <w:trPr>
          <w:trHeight w:val="215"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17"/>
                <w:szCs w:val="17"/>
              </w:rPr>
            </w:pP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w w:val="99"/>
                <w:sz w:val="18"/>
                <w:szCs w:val="18"/>
              </w:rPr>
              <w:t>YBX02</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206" w:lineRule="exact"/>
              <w:jc w:val="center"/>
              <w:rPr>
                <w:sz w:val="20"/>
                <w:szCs w:val="20"/>
              </w:rPr>
            </w:pPr>
            <w:r>
              <w:rPr>
                <w:rFonts w:ascii="宋体" w:hAnsi="宋体" w:eastAsia="宋体" w:cs="宋体"/>
                <w:w w:val="99"/>
                <w:sz w:val="18"/>
                <w:szCs w:val="18"/>
              </w:rPr>
              <w:t>冶金工程科学前沿</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eastAsia="Times New Roman"/>
                <w:sz w:val="18"/>
                <w:szCs w:val="18"/>
              </w:rPr>
              <w:t>16</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70"/>
              <w:jc w:val="center"/>
              <w:rPr>
                <w:sz w:val="20"/>
                <w:szCs w:val="20"/>
              </w:rPr>
            </w:pPr>
            <w:r>
              <w:rPr>
                <w:rFonts w:eastAsia="Times New Roman"/>
                <w:sz w:val="18"/>
                <w:szCs w:val="18"/>
              </w:rPr>
              <w:t>2</w:t>
            </w:r>
          </w:p>
        </w:tc>
        <w:tc>
          <w:tcPr>
            <w:tcW w:w="1060" w:type="dxa"/>
            <w:vMerge w:val="restart"/>
            <w:tcBorders>
              <w:top w:val="single" w:color="auto" w:sz="4" w:space="0"/>
              <w:left w:val="single" w:color="auto" w:sz="4" w:space="0"/>
              <w:right w:val="single" w:color="auto" w:sz="4" w:space="0"/>
            </w:tcBorders>
            <w:vAlign w:val="center"/>
          </w:tcPr>
          <w:p>
            <w:pPr>
              <w:ind w:firstLine="360" w:firstLineChars="200"/>
              <w:rPr>
                <w:sz w:val="17"/>
                <w:szCs w:val="17"/>
              </w:rPr>
            </w:pPr>
            <w:r>
              <w:rPr>
                <w:rFonts w:hint="eastAsia" w:ascii="宋体" w:hAnsi="宋体" w:eastAsia="宋体" w:cs="宋体"/>
                <w:sz w:val="18"/>
                <w:szCs w:val="18"/>
              </w:rPr>
              <w:t>考查</w:t>
            </w:r>
          </w:p>
        </w:tc>
        <w:tc>
          <w:tcPr>
            <w:tcW w:w="1000" w:type="dxa"/>
            <w:vMerge w:val="continue"/>
            <w:tcBorders>
              <w:left w:val="single" w:color="auto" w:sz="4" w:space="0"/>
              <w:right w:val="single" w:color="auto" w:sz="4" w:space="0"/>
            </w:tcBorders>
            <w:vAlign w:val="center"/>
          </w:tcPr>
          <w:p>
            <w:pPr>
              <w:spacing w:line="219" w:lineRule="exact"/>
              <w:ind w:left="100"/>
              <w:jc w:val="center"/>
              <w:rPr>
                <w:sz w:val="17"/>
                <w:szCs w:val="17"/>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136"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11"/>
                <w:szCs w:val="11"/>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1"/>
                <w:szCs w:val="11"/>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1"/>
                <w:szCs w:val="1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1"/>
                <w:szCs w:val="11"/>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1"/>
                <w:szCs w:val="1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1"/>
                <w:szCs w:val="11"/>
              </w:rPr>
            </w:pPr>
          </w:p>
        </w:tc>
        <w:tc>
          <w:tcPr>
            <w:tcW w:w="1060" w:type="dxa"/>
            <w:vMerge w:val="continue"/>
            <w:tcBorders>
              <w:left w:val="single" w:color="auto" w:sz="4" w:space="0"/>
              <w:bottom w:val="single" w:color="auto" w:sz="4" w:space="0"/>
              <w:right w:val="single" w:color="auto" w:sz="4" w:space="0"/>
            </w:tcBorders>
            <w:vAlign w:val="center"/>
          </w:tcPr>
          <w:p>
            <w:pPr>
              <w:ind w:firstLine="220" w:firstLineChars="200"/>
              <w:jc w:val="center"/>
              <w:rPr>
                <w:sz w:val="11"/>
                <w:szCs w:val="11"/>
              </w:rPr>
            </w:pPr>
          </w:p>
        </w:tc>
        <w:tc>
          <w:tcPr>
            <w:tcW w:w="1000" w:type="dxa"/>
            <w:vMerge w:val="continue"/>
            <w:tcBorders>
              <w:left w:val="single" w:color="auto" w:sz="4" w:space="0"/>
              <w:right w:val="single" w:color="auto" w:sz="4" w:space="0"/>
            </w:tcBorders>
            <w:vAlign w:val="center"/>
          </w:tcPr>
          <w:p>
            <w:pPr>
              <w:spacing w:line="219" w:lineRule="exact"/>
              <w:ind w:left="100"/>
              <w:jc w:val="center"/>
              <w:rPr>
                <w:sz w:val="11"/>
                <w:szCs w:val="11"/>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78"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6"/>
                <w:szCs w:val="6"/>
              </w:rPr>
            </w:pP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eastAsia="Times New Roman"/>
                <w:w w:val="99"/>
                <w:sz w:val="18"/>
                <w:szCs w:val="18"/>
              </w:rPr>
              <w:t>YBX03</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spacing w:line="219" w:lineRule="exact"/>
              <w:ind w:left="80"/>
              <w:jc w:val="center"/>
              <w:rPr>
                <w:sz w:val="20"/>
                <w:szCs w:val="20"/>
              </w:rPr>
            </w:pPr>
            <w:r>
              <w:rPr>
                <w:rFonts w:ascii="宋体" w:hAnsi="宋体" w:eastAsia="宋体" w:cs="宋体"/>
                <w:w w:val="98"/>
                <w:sz w:val="18"/>
                <w:szCs w:val="18"/>
              </w:rPr>
              <w:t>学术讲座（参加</w:t>
            </w:r>
            <w:r>
              <w:rPr>
                <w:rFonts w:eastAsia="Times New Roman"/>
                <w:w w:val="98"/>
                <w:sz w:val="18"/>
                <w:szCs w:val="18"/>
              </w:rPr>
              <w:t xml:space="preserve"> 8 </w:t>
            </w:r>
            <w:r>
              <w:rPr>
                <w:rFonts w:ascii="宋体" w:hAnsi="宋体" w:eastAsia="宋体" w:cs="宋体"/>
                <w:w w:val="98"/>
                <w:sz w:val="18"/>
                <w:szCs w:val="18"/>
              </w:rPr>
              <w:t>次以上</w:t>
            </w:r>
            <w:r>
              <w:rPr>
                <w:rFonts w:hint="eastAsia" w:ascii="宋体" w:hAnsi="宋体" w:eastAsia="宋体" w:cs="宋体"/>
                <w:w w:val="98"/>
                <w:sz w:val="18"/>
                <w:szCs w:val="18"/>
              </w:rPr>
              <w:t>，主讲1次</w:t>
            </w:r>
            <w:r>
              <w:rPr>
                <w:rFonts w:ascii="宋体" w:hAnsi="宋体" w:eastAsia="宋体" w:cs="宋体"/>
                <w:w w:val="98"/>
                <w:sz w:val="18"/>
                <w:szCs w:val="18"/>
              </w:rPr>
              <w:t>）</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30"/>
              <w:jc w:val="center"/>
              <w:rPr>
                <w:sz w:val="20"/>
                <w:szCs w:val="20"/>
              </w:rPr>
            </w:pPr>
            <w:r>
              <w:rPr>
                <w:rFonts w:hint="eastAsia" w:eastAsia="宋体"/>
                <w:sz w:val="18"/>
                <w:szCs w:val="18"/>
              </w:rPr>
              <w:t>16</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ind w:right="190"/>
              <w:jc w:val="center"/>
              <w:rPr>
                <w:sz w:val="20"/>
                <w:szCs w:val="20"/>
              </w:rPr>
            </w:pPr>
            <w:r>
              <w:rPr>
                <w:rFonts w:eastAsia="Times New Roman"/>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ind w:right="170"/>
              <w:jc w:val="center"/>
              <w:rPr>
                <w:rFonts w:hint="default" w:eastAsia="宋体"/>
                <w:sz w:val="20"/>
                <w:szCs w:val="20"/>
                <w:lang w:val="en-US" w:eastAsia="zh-CN"/>
              </w:rPr>
            </w:pPr>
            <w:r>
              <w:rPr>
                <w:rFonts w:eastAsia="Times New Roman"/>
                <w:sz w:val="18"/>
                <w:szCs w:val="18"/>
              </w:rPr>
              <w:t>2</w:t>
            </w:r>
          </w:p>
        </w:tc>
        <w:tc>
          <w:tcPr>
            <w:tcW w:w="1060" w:type="dxa"/>
            <w:vMerge w:val="restart"/>
            <w:tcBorders>
              <w:top w:val="single" w:color="auto" w:sz="4" w:space="0"/>
              <w:left w:val="single" w:color="auto" w:sz="4" w:space="0"/>
              <w:right w:val="single" w:color="auto" w:sz="4" w:space="0"/>
            </w:tcBorders>
            <w:vAlign w:val="center"/>
          </w:tcPr>
          <w:p>
            <w:pPr>
              <w:ind w:firstLine="360" w:firstLineChars="200"/>
              <w:rPr>
                <w:sz w:val="6"/>
                <w:szCs w:val="6"/>
              </w:rPr>
            </w:pPr>
            <w:r>
              <w:rPr>
                <w:rFonts w:hint="eastAsia" w:ascii="宋体" w:hAnsi="宋体" w:eastAsia="宋体" w:cs="宋体"/>
                <w:sz w:val="18"/>
                <w:szCs w:val="18"/>
              </w:rPr>
              <w:t>考查</w:t>
            </w:r>
          </w:p>
        </w:tc>
        <w:tc>
          <w:tcPr>
            <w:tcW w:w="1000" w:type="dxa"/>
            <w:vMerge w:val="continue"/>
            <w:tcBorders>
              <w:left w:val="single" w:color="auto" w:sz="4" w:space="0"/>
              <w:right w:val="single" w:color="auto" w:sz="4" w:space="0"/>
            </w:tcBorders>
            <w:vAlign w:val="center"/>
          </w:tcPr>
          <w:p>
            <w:pPr>
              <w:spacing w:line="219" w:lineRule="exact"/>
              <w:ind w:left="100"/>
              <w:jc w:val="center"/>
              <w:rPr>
                <w:sz w:val="20"/>
                <w:szCs w:val="20"/>
              </w:rPr>
            </w:pPr>
          </w:p>
        </w:tc>
        <w:tc>
          <w:tcPr>
            <w:tcW w:w="3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263" w:hRule="atLeast"/>
        </w:trPr>
        <w:tc>
          <w:tcPr>
            <w:tcW w:w="440" w:type="dxa"/>
            <w:vMerge w:val="continue"/>
            <w:tcBorders>
              <w:left w:val="single" w:color="auto" w:sz="4" w:space="0"/>
              <w:right w:val="single" w:color="auto" w:sz="4" w:space="0"/>
            </w:tcBorders>
            <w:vAlign w:val="center"/>
          </w:tcPr>
          <w:p>
            <w:pPr>
              <w:spacing w:line="206" w:lineRule="exact"/>
              <w:ind w:left="120"/>
              <w:jc w:val="center"/>
              <w:rPr>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060" w:type="dxa"/>
            <w:vMerge w:val="continue"/>
            <w:tcBorders>
              <w:left w:val="single" w:color="auto" w:sz="4" w:space="0"/>
              <w:bottom w:val="single" w:color="auto" w:sz="4" w:space="0"/>
              <w:right w:val="single" w:color="auto" w:sz="4" w:space="0"/>
            </w:tcBorders>
            <w:vAlign w:val="center"/>
          </w:tcPr>
          <w:p>
            <w:pPr>
              <w:ind w:firstLine="440" w:firstLineChars="200"/>
              <w:jc w:val="center"/>
            </w:pPr>
          </w:p>
        </w:tc>
        <w:tc>
          <w:tcPr>
            <w:tcW w:w="1000" w:type="dxa"/>
            <w:vMerge w:val="continue"/>
            <w:tcBorders>
              <w:left w:val="single" w:color="auto" w:sz="4" w:space="0"/>
              <w:right w:val="single" w:color="auto" w:sz="4" w:space="0"/>
            </w:tcBorders>
            <w:vAlign w:val="center"/>
          </w:tcPr>
          <w:p>
            <w:pPr>
              <w:jc w:val="center"/>
            </w:pPr>
          </w:p>
        </w:tc>
        <w:tc>
          <w:tcPr>
            <w:tcW w:w="30" w:type="dxa"/>
            <w:tcBorders>
              <w:left w:val="single" w:color="auto" w:sz="4" w:space="0"/>
            </w:tcBorders>
            <w:vAlign w:val="bottom"/>
          </w:tcPr>
          <w:p>
            <w:pPr>
              <w:rPr>
                <w:sz w:val="1"/>
                <w:szCs w:val="1"/>
              </w:rPr>
            </w:pPr>
          </w:p>
        </w:tc>
      </w:tr>
    </w:tbl>
    <w:p>
      <w:pPr>
        <w:spacing w:line="391" w:lineRule="exact"/>
        <w:rPr>
          <w:sz w:val="20"/>
          <w:szCs w:val="20"/>
        </w:rPr>
      </w:pPr>
    </w:p>
    <w:p>
      <w:pPr>
        <w:spacing w:line="114" w:lineRule="exact"/>
        <w:rPr>
          <w:sz w:val="20"/>
          <w:szCs w:val="20"/>
        </w:rPr>
      </w:pP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课程学习、科学研究和学位论文是博士研究生培养工作的核心内容。学位论文选题应与</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所在学科研究方向相一致，结合我国及世界冶金技术现状，以具有重要科学意义或重大工程</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应用价值的课题为背景，课题应具有前沿性、系统性、创新性和可行性。</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1.个人培养计划：研究生入学后一个月内，由导师指导团队与研究生共同制定个人培养</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计划。内容包括研究方向、课程学习、文献阅读、选题报告、学术交流、学位论文和实践环</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节等方面的要求和进度计划。</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开题报告：以书面及答辩形式就论文开题作报告，记 1 学分。开题报告要对研究课题的国内外研究动态、研究成果和存在的问题进行系统的综合评述；论证论文选题的科学性、系统性、创新性和可行性；阐明论文研究工作的背景、目的、方案、技术路线、进度安排和预期研究成果；文献阅读不少于 80 篇，其中外文不少于 30 篇，书面报告一般为 0.8～1.5万字；参与开题报告会的本学科副教授以上职称（或博士学位者）不少于 5 人（其中至少 3 名教授）；由指导小组确定是否通过，开题报告一般在第三学期进行。</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论文中期进展报告与考核：以书面、讲述和答辩的形式做论文研究中期进展报告，</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记1 学分。博士生入学后第5-7学期进行论文工作中期报告与考核；参与中期报告会的本学科副教授以上职称（或博士学位者）不少于 5 人（其中至少 3 名教授）；就课题方案</w:t>
      </w:r>
      <w:bookmarkStart w:id="5" w:name="page4"/>
      <w:bookmarkEnd w:id="5"/>
      <w:r>
        <w:rPr>
          <w:rFonts w:hint="eastAsia" w:ascii="仿宋" w:hAnsi="仿宋" w:eastAsia="仿宋" w:cs="仿宋"/>
          <w:sz w:val="28"/>
          <w:szCs w:val="28"/>
        </w:rPr>
        <w:t>的合理性、实验方法的可行性、实验数据的可靠性、理论分析的科学性和初步结论的正确性等进行评审，对存在的问题、改进的思路和进一步的研究方向提出指导性建议。</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4.学术活动：博士研究生须参加 8 次以上学术活动，并面向全院师生 1 次学术讲座</w:t>
      </w:r>
      <w:r>
        <w:rPr>
          <w:rFonts w:hint="eastAsia" w:ascii="仿宋" w:hAnsi="仿宋" w:eastAsia="仿宋" w:cs="仿宋"/>
          <w:sz w:val="28"/>
          <w:szCs w:val="28"/>
          <w:lang w:val="en-US" w:eastAsia="zh-CN"/>
        </w:rPr>
        <w:t>或在学术会议上做口头报告1次</w:t>
      </w:r>
      <w:r>
        <w:rPr>
          <w:rFonts w:hint="eastAsia" w:ascii="仿宋" w:hAnsi="仿宋" w:eastAsia="仿宋" w:cs="仿宋"/>
          <w:sz w:val="28"/>
          <w:szCs w:val="28"/>
        </w:rPr>
        <w:t>，记1 学分。每次参加学术活动应有书面记录和书面材料，在申请学位前交学院备案并记相应学分。</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学位论文预答辩：为确保学位论文的最终质量，要求博士研究生在申请论文答辩前，必须提交学位论文初稿，同时以讲述的方式，作论文预答辩；参与预答辩的本学科副教授及以上职称（或博士学位者）不少于 5 人（其中至少 3 名教授）；对一次或二次仍未能通过者，做出相应的处理决定。</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学位论文要求：</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（1）论文的基本科学论点、结论有重要的理论意义或重大应用价值；</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（2）论文内容应能表明作者掌握了本学科坚实的基础理论和系统的专门知识；</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（3）论文工作应能表明作者具有独立从事科学研究或承担专门技术工作的能力；</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（4）研究成果具有科学性、系统性和创新性；</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（5）学位论文正文应不少于 4 万字，论文撰写要求文句简练、通顺、数据可靠、图表清晰，严格准确地表达研究成果，实事求是地提出结论。</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7．学位论文答辩：</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完成所有培养环节并通过学位论文预答辩者，应根据预答辩评审意见修改论文并提交同行专家评审，通过同行专家评审后方可申请正式答辩，答辩过程须有学院教授委员会委员（学术委员会委员）参与，答辩组成员不少于5人，成员须为教授或为博士生导师，其中1位为校外专家。 </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8．各环节时间间隔</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博士生提交开题报告与中期报告的时间间隔、中期报告与预答辩报告的时间间隔一般均不得少于 10 个月。</w:t>
      </w:r>
    </w:p>
    <w:p>
      <w:pPr>
        <w:spacing w:line="274" w:lineRule="exact"/>
        <w:ind w:left="360"/>
        <w:rPr>
          <w:rFonts w:ascii="黑体" w:hAnsi="黑体" w:eastAsia="黑体" w:cs="黑体"/>
          <w:b/>
          <w:bCs/>
          <w:sz w:val="24"/>
          <w:szCs w:val="24"/>
        </w:rPr>
      </w:pPr>
      <w:r>
        <w:rPr>
          <w:rFonts w:hint="eastAsia" w:ascii="黑体" w:hAnsi="黑体" w:eastAsia="黑体" w:cs="黑体"/>
          <w:b/>
          <w:bCs/>
          <w:sz w:val="24"/>
          <w:szCs w:val="24"/>
        </w:rPr>
        <w:t>七、学位授予</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博士研究生申请正式答辩前必须完成上述各培养环节并取得相应学分，在本学科或相关学科的国内外学术刊物上以第一作者、且以内蒙古科技大学为第一署名单位，公开发表至少 3 篇与学位论文内容有关的核心及以上论文，其中至少 </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 篇</w:t>
      </w:r>
      <w:r>
        <w:rPr>
          <w:rFonts w:hint="eastAsia" w:ascii="仿宋" w:hAnsi="仿宋" w:eastAsia="仿宋" w:cs="仿宋"/>
          <w:sz w:val="28"/>
          <w:szCs w:val="28"/>
          <w:lang w:val="en-US" w:eastAsia="zh-CN"/>
        </w:rPr>
        <w:t>本领域TOP期刊（见附录）</w:t>
      </w:r>
      <w:r>
        <w:rPr>
          <w:rFonts w:hint="eastAsia" w:ascii="仿宋" w:hAnsi="仿宋" w:eastAsia="仿宋" w:cs="仿宋"/>
          <w:sz w:val="28"/>
          <w:szCs w:val="28"/>
          <w:lang w:eastAsia="zh-CN"/>
        </w:rPr>
        <w:t>，</w:t>
      </w:r>
      <w:r>
        <w:rPr>
          <w:rFonts w:hint="eastAsia" w:ascii="仿宋" w:hAnsi="仿宋" w:eastAsia="仿宋" w:cs="仿宋"/>
          <w:sz w:val="28"/>
          <w:szCs w:val="28"/>
        </w:rPr>
        <w:t>或者</w:t>
      </w:r>
      <w:r>
        <w:rPr>
          <w:rFonts w:hint="eastAsia" w:ascii="仿宋" w:hAnsi="仿宋" w:eastAsia="仿宋" w:cs="仿宋"/>
          <w:sz w:val="28"/>
          <w:szCs w:val="28"/>
          <w:lang w:val="en-US" w:eastAsia="zh-CN"/>
        </w:rPr>
        <w:t xml:space="preserve"> 1</w:t>
      </w:r>
      <w:r>
        <w:rPr>
          <w:rFonts w:hint="eastAsia" w:ascii="仿宋" w:hAnsi="仿宋" w:eastAsia="仿宋" w:cs="仿宋"/>
          <w:sz w:val="28"/>
          <w:szCs w:val="28"/>
        </w:rPr>
        <w:t xml:space="preserve"> 篇</w:t>
      </w:r>
      <w:r>
        <w:rPr>
          <w:rFonts w:hint="eastAsia" w:ascii="仿宋" w:hAnsi="仿宋" w:eastAsia="仿宋" w:cs="仿宋"/>
          <w:sz w:val="28"/>
          <w:szCs w:val="28"/>
          <w:lang w:val="en-US" w:eastAsia="zh-CN"/>
        </w:rPr>
        <w:t>本领域TOP期刊和 1 项授权发明专利(</w:t>
      </w:r>
      <w:r>
        <w:rPr>
          <w:rFonts w:hint="eastAsia" w:ascii="仿宋" w:hAnsi="仿宋" w:eastAsia="仿宋" w:cs="仿宋"/>
          <w:sz w:val="28"/>
          <w:szCs w:val="28"/>
        </w:rPr>
        <w:t>第一发明人或导师第一发明人、本人第二发明人</w:t>
      </w:r>
      <w:r>
        <w:rPr>
          <w:rFonts w:hint="eastAsia" w:ascii="仿宋" w:hAnsi="仿宋" w:eastAsia="仿宋" w:cs="仿宋"/>
          <w:sz w:val="28"/>
          <w:szCs w:val="28"/>
          <w:lang w:val="en-US" w:eastAsia="zh-CN"/>
        </w:rPr>
        <w:t>;</w:t>
      </w:r>
      <w:r>
        <w:rPr>
          <w:rFonts w:hint="eastAsia" w:ascii="仿宋" w:hAnsi="仿宋" w:eastAsia="仿宋" w:cs="仿宋"/>
          <w:sz w:val="28"/>
          <w:szCs w:val="28"/>
        </w:rPr>
        <w:t>内蒙古科技大学为第一专利权人的发明专利</w:t>
      </w:r>
      <w:r>
        <w:rPr>
          <w:rFonts w:hint="eastAsia" w:ascii="仿宋" w:hAnsi="仿宋" w:eastAsia="仿宋" w:cs="仿宋"/>
          <w:sz w:val="28"/>
          <w:szCs w:val="28"/>
          <w:lang w:val="en-US" w:eastAsia="zh-CN"/>
        </w:rPr>
        <w:t>)</w:t>
      </w:r>
      <w:r>
        <w:rPr>
          <w:rFonts w:hint="eastAsia" w:ascii="仿宋" w:hAnsi="仿宋" w:eastAsia="仿宋" w:cs="仿宋"/>
          <w:sz w:val="28"/>
          <w:szCs w:val="28"/>
        </w:rPr>
        <w:t>，才能申请答辩</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学位论文按照内蒙古科技大学相关规定送审合格后，组织答辩，并向所在学院研究生教育管理部门提交学位申请，经学院和学校学位评定委员会评审通过后授予学位。</w:t>
      </w:r>
    </w:p>
    <w:p>
      <w:pPr>
        <w:spacing w:line="1" w:lineRule="exact"/>
        <w:rPr>
          <w:sz w:val="20"/>
          <w:szCs w:val="20"/>
        </w:rPr>
      </w:pPr>
      <w:bookmarkStart w:id="6" w:name="page7"/>
      <w:bookmarkEnd w:id="6"/>
      <w:bookmarkStart w:id="7" w:name="page6"/>
      <w:bookmarkEnd w:id="7"/>
      <w:bookmarkStart w:id="8" w:name="page5"/>
      <w:bookmarkEnd w:id="8"/>
    </w:p>
    <w:sectPr>
      <w:pgSz w:w="11900" w:h="16838"/>
      <w:pgMar w:top="142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mNiMWUzMWU0YjI0OWI2Yjc4YTdiM2Y5YjY5ZjUifQ=="/>
  </w:docVars>
  <w:rsids>
    <w:rsidRoot w:val="00536D77"/>
    <w:rsid w:val="00010A86"/>
    <w:rsid w:val="00021B7B"/>
    <w:rsid w:val="00047B5C"/>
    <w:rsid w:val="00070578"/>
    <w:rsid w:val="000763D4"/>
    <w:rsid w:val="00096866"/>
    <w:rsid w:val="000B458F"/>
    <w:rsid w:val="001262B4"/>
    <w:rsid w:val="0012780D"/>
    <w:rsid w:val="001371F7"/>
    <w:rsid w:val="00173A33"/>
    <w:rsid w:val="0018164F"/>
    <w:rsid w:val="00183C03"/>
    <w:rsid w:val="00184976"/>
    <w:rsid w:val="001D2F5C"/>
    <w:rsid w:val="002051AD"/>
    <w:rsid w:val="00213508"/>
    <w:rsid w:val="00232F65"/>
    <w:rsid w:val="00285DB0"/>
    <w:rsid w:val="002A6555"/>
    <w:rsid w:val="002B5B14"/>
    <w:rsid w:val="002C6D5F"/>
    <w:rsid w:val="002D1F50"/>
    <w:rsid w:val="002D624F"/>
    <w:rsid w:val="00314525"/>
    <w:rsid w:val="0033207D"/>
    <w:rsid w:val="00350D85"/>
    <w:rsid w:val="003559D4"/>
    <w:rsid w:val="00364C81"/>
    <w:rsid w:val="0038409B"/>
    <w:rsid w:val="0038436B"/>
    <w:rsid w:val="003C7973"/>
    <w:rsid w:val="00402003"/>
    <w:rsid w:val="004033F8"/>
    <w:rsid w:val="00436DD8"/>
    <w:rsid w:val="00485D47"/>
    <w:rsid w:val="00495E2C"/>
    <w:rsid w:val="004A3CCA"/>
    <w:rsid w:val="004C6AD8"/>
    <w:rsid w:val="004D569E"/>
    <w:rsid w:val="004E2109"/>
    <w:rsid w:val="004E4DEC"/>
    <w:rsid w:val="00506E6E"/>
    <w:rsid w:val="00536D77"/>
    <w:rsid w:val="005654D7"/>
    <w:rsid w:val="0056706F"/>
    <w:rsid w:val="00573322"/>
    <w:rsid w:val="006134DD"/>
    <w:rsid w:val="0063287F"/>
    <w:rsid w:val="0065268B"/>
    <w:rsid w:val="006808CB"/>
    <w:rsid w:val="00686739"/>
    <w:rsid w:val="0069497D"/>
    <w:rsid w:val="006D00BE"/>
    <w:rsid w:val="006E6972"/>
    <w:rsid w:val="00714678"/>
    <w:rsid w:val="007563DD"/>
    <w:rsid w:val="0077219B"/>
    <w:rsid w:val="007A47EB"/>
    <w:rsid w:val="007B4AD9"/>
    <w:rsid w:val="0080697C"/>
    <w:rsid w:val="00836509"/>
    <w:rsid w:val="00897F49"/>
    <w:rsid w:val="008B0CCC"/>
    <w:rsid w:val="008B5036"/>
    <w:rsid w:val="008F36A7"/>
    <w:rsid w:val="00940897"/>
    <w:rsid w:val="00A41F70"/>
    <w:rsid w:val="00A7100B"/>
    <w:rsid w:val="00A76A47"/>
    <w:rsid w:val="00A80DE8"/>
    <w:rsid w:val="00AB4132"/>
    <w:rsid w:val="00AB5D4F"/>
    <w:rsid w:val="00AC42A5"/>
    <w:rsid w:val="00AE071E"/>
    <w:rsid w:val="00AF0DFE"/>
    <w:rsid w:val="00AF4C61"/>
    <w:rsid w:val="00B071C9"/>
    <w:rsid w:val="00B40CF5"/>
    <w:rsid w:val="00B44F28"/>
    <w:rsid w:val="00B60BF8"/>
    <w:rsid w:val="00B62DD0"/>
    <w:rsid w:val="00B87FCE"/>
    <w:rsid w:val="00BC1ED1"/>
    <w:rsid w:val="00BF6877"/>
    <w:rsid w:val="00C5415D"/>
    <w:rsid w:val="00CF5EE0"/>
    <w:rsid w:val="00D46CE0"/>
    <w:rsid w:val="00D941FE"/>
    <w:rsid w:val="00DD1A56"/>
    <w:rsid w:val="00DE094D"/>
    <w:rsid w:val="00DE1C5E"/>
    <w:rsid w:val="00E369FF"/>
    <w:rsid w:val="00E57B82"/>
    <w:rsid w:val="00E6462C"/>
    <w:rsid w:val="00E9060A"/>
    <w:rsid w:val="00EA5917"/>
    <w:rsid w:val="00EA6CAA"/>
    <w:rsid w:val="00EE3C90"/>
    <w:rsid w:val="00EF0E0C"/>
    <w:rsid w:val="00F915FE"/>
    <w:rsid w:val="00FA4836"/>
    <w:rsid w:val="00FD3EE7"/>
    <w:rsid w:val="00FE7D94"/>
    <w:rsid w:val="01F4191A"/>
    <w:rsid w:val="04A34C83"/>
    <w:rsid w:val="05505550"/>
    <w:rsid w:val="074F2C2F"/>
    <w:rsid w:val="087F71FC"/>
    <w:rsid w:val="09A75C7C"/>
    <w:rsid w:val="0BA972D6"/>
    <w:rsid w:val="0BFB2B67"/>
    <w:rsid w:val="0C027878"/>
    <w:rsid w:val="0DC1036D"/>
    <w:rsid w:val="0DE07BDB"/>
    <w:rsid w:val="0F823484"/>
    <w:rsid w:val="123C3298"/>
    <w:rsid w:val="129161B4"/>
    <w:rsid w:val="12A4417B"/>
    <w:rsid w:val="12A95880"/>
    <w:rsid w:val="12B964E0"/>
    <w:rsid w:val="12BA379B"/>
    <w:rsid w:val="135F665D"/>
    <w:rsid w:val="13E77397"/>
    <w:rsid w:val="14FA2894"/>
    <w:rsid w:val="18EB2018"/>
    <w:rsid w:val="193F5B8A"/>
    <w:rsid w:val="1C7046E3"/>
    <w:rsid w:val="1EDE6316"/>
    <w:rsid w:val="1FD74416"/>
    <w:rsid w:val="20C83E3D"/>
    <w:rsid w:val="218247A9"/>
    <w:rsid w:val="21A464AE"/>
    <w:rsid w:val="25E74068"/>
    <w:rsid w:val="260D1861"/>
    <w:rsid w:val="2767625A"/>
    <w:rsid w:val="27C15E86"/>
    <w:rsid w:val="28305365"/>
    <w:rsid w:val="28E62679"/>
    <w:rsid w:val="2AED42FD"/>
    <w:rsid w:val="2B710F12"/>
    <w:rsid w:val="2B84413C"/>
    <w:rsid w:val="2C3D485A"/>
    <w:rsid w:val="2CA96DF7"/>
    <w:rsid w:val="2D0644AA"/>
    <w:rsid w:val="353814AD"/>
    <w:rsid w:val="38266EAE"/>
    <w:rsid w:val="38493F90"/>
    <w:rsid w:val="395C6D29"/>
    <w:rsid w:val="3AA36DFF"/>
    <w:rsid w:val="3C0C75C2"/>
    <w:rsid w:val="3C686FC8"/>
    <w:rsid w:val="408A59A2"/>
    <w:rsid w:val="40D22A2A"/>
    <w:rsid w:val="42070D66"/>
    <w:rsid w:val="441023A3"/>
    <w:rsid w:val="443D37DF"/>
    <w:rsid w:val="44827FDF"/>
    <w:rsid w:val="450404DD"/>
    <w:rsid w:val="45AA166A"/>
    <w:rsid w:val="468768AD"/>
    <w:rsid w:val="47536054"/>
    <w:rsid w:val="48287FA4"/>
    <w:rsid w:val="48B06DF1"/>
    <w:rsid w:val="48B654FE"/>
    <w:rsid w:val="4A610F06"/>
    <w:rsid w:val="4AB47D09"/>
    <w:rsid w:val="4E927233"/>
    <w:rsid w:val="4FE62440"/>
    <w:rsid w:val="50124544"/>
    <w:rsid w:val="50236710"/>
    <w:rsid w:val="5230311D"/>
    <w:rsid w:val="52402A48"/>
    <w:rsid w:val="53C5773B"/>
    <w:rsid w:val="56474CBB"/>
    <w:rsid w:val="56A52BFB"/>
    <w:rsid w:val="5A93466D"/>
    <w:rsid w:val="5AA54F76"/>
    <w:rsid w:val="5DD04A47"/>
    <w:rsid w:val="5EBE1D08"/>
    <w:rsid w:val="5F294851"/>
    <w:rsid w:val="5F3A1ABB"/>
    <w:rsid w:val="5FB355BC"/>
    <w:rsid w:val="5FD7263B"/>
    <w:rsid w:val="60220F8F"/>
    <w:rsid w:val="62351EDC"/>
    <w:rsid w:val="62C719C1"/>
    <w:rsid w:val="62EC44CB"/>
    <w:rsid w:val="667C2F62"/>
    <w:rsid w:val="66EC581D"/>
    <w:rsid w:val="67A550FD"/>
    <w:rsid w:val="6B087E11"/>
    <w:rsid w:val="6BE96DFC"/>
    <w:rsid w:val="6E3A3975"/>
    <w:rsid w:val="71665991"/>
    <w:rsid w:val="721809BB"/>
    <w:rsid w:val="74E1569B"/>
    <w:rsid w:val="757C67B4"/>
    <w:rsid w:val="79157CC9"/>
    <w:rsid w:val="7A0339C2"/>
    <w:rsid w:val="7C7471DF"/>
    <w:rsid w:val="7C85424E"/>
    <w:rsid w:val="7D4E495B"/>
    <w:rsid w:val="7DDC1631"/>
    <w:rsid w:val="7E384229"/>
    <w:rsid w:val="7EA8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paragraph" w:styleId="2">
    <w:name w:val="heading 1"/>
    <w:basedOn w:val="1"/>
    <w:next w:val="1"/>
    <w:qFormat/>
    <w:uiPriority w:val="0"/>
    <w:pPr>
      <w:keepNext/>
      <w:keepLines/>
      <w:spacing w:before="340" w:after="330" w:line="300" w:lineRule="auto"/>
      <w:jc w:val="center"/>
      <w:outlineLvl w:val="0"/>
    </w:pPr>
    <w:rPr>
      <w:rFonts w:eastAsia="黑体"/>
      <w:b/>
      <w:bCs/>
      <w:kern w:val="44"/>
      <w:sz w:val="36"/>
      <w:szCs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rPr>
      <w:rFonts w:ascii="仿宋_GB2312" w:eastAsia="仿宋_GB2312"/>
      <w:b/>
      <w:bCs/>
      <w:sz w:val="24"/>
    </w:rPr>
  </w:style>
  <w:style w:type="paragraph" w:styleId="4">
    <w:name w:val="Plain Text"/>
    <w:basedOn w:val="1"/>
    <w:link w:val="11"/>
    <w:uiPriority w:val="0"/>
    <w:pPr>
      <w:widowControl w:val="0"/>
      <w:jc w:val="both"/>
    </w:pPr>
    <w:rPr>
      <w:rFonts w:ascii="宋体" w:hAnsi="Courier New" w:eastAsia="宋体" w:cs="Courier New"/>
      <w:kern w:val="2"/>
      <w:sz w:val="21"/>
      <w:szCs w:val="21"/>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rPr>
  </w:style>
  <w:style w:type="paragraph" w:styleId="7">
    <w:name w:val="toc 1"/>
    <w:basedOn w:val="1"/>
    <w:next w:val="1"/>
    <w:qFormat/>
    <w:uiPriority w:val="0"/>
    <w:pPr>
      <w:spacing w:before="120" w:after="120"/>
    </w:pPr>
    <w:rPr>
      <w:b/>
      <w:bCs/>
      <w:caps/>
      <w:sz w:val="20"/>
      <w:szCs w:val="20"/>
    </w:rPr>
  </w:style>
  <w:style w:type="character" w:styleId="10">
    <w:name w:val="page number"/>
    <w:basedOn w:val="9"/>
    <w:qFormat/>
    <w:uiPriority w:val="0"/>
  </w:style>
  <w:style w:type="character" w:customStyle="1" w:styleId="11">
    <w:name w:val="纯文本 字符"/>
    <w:basedOn w:val="9"/>
    <w:link w:val="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10</Pages>
  <Words>1078</Words>
  <Characters>6151</Characters>
  <Lines>51</Lines>
  <Paragraphs>14</Paragraphs>
  <TotalTime>0</TotalTime>
  <ScaleCrop>false</ScaleCrop>
  <LinksUpToDate>false</LinksUpToDate>
  <CharactersWithSpaces>7215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2019-07-03T15:33:00Z</dcterms:created>
  <dc:creator>Windows User</dc:creator>
  <cp:lastModifiedBy>ZYX</cp:lastModifiedBy>
  <cp:lastPrinted>2020-07-09T09:29:00Z</cp:lastPrinted>
  <dcterms:modified xsi:type="dcterms:W3CDTF">2022-09-09T01:20:39Z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7EE316265F7447648515C7E5E34BB9FB</vt:lpwstr>
  </property>
</Properties>
</file>